
<file path=[Content_Types].xml><?xml version="1.0" encoding="utf-8"?>
<Types xmlns="http://schemas.openxmlformats.org/package/2006/content-types">
  <Default Extension="xml" ContentType="application/xml"/>
  <Default Extension="rels" ContentType="application/vnd.openxmlformats-package.relationships+xml"/>
  <Default Extension="odttf" ContentType="application/vnd.openxmlformats-officedocument.obfuscatedFont"/>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p>
      <w:pPr>
        <w:pStyle w:val="FirstParagraph"/>
      </w:pPr>
      <w:r>
        <w:t xml:space="preserve">Inventory Analysis Report</w:t>
      </w:r>
      <w:r>
        <w:t xml:space="preserve"> </w:t>
      </w:r>
      <w:r>
        <w:t xml:space="preserve">Meraki MX and MS Product Lines</w:t>
      </w:r>
    </w:p>
    <w:p>
      <w:pPr>
        <w:pStyle w:val="BodyText"/>
      </w:pPr>
      <w:r>
        <w:t xml:space="preserve">Table of Contents</w:t>
      </w:r>
      <w:r>
        <w:t xml:space="preserve"> </w:t>
      </w:r>
      <w:r>
        <w:t xml:space="preserve">1. Introduction</w:t>
      </w:r>
      <w:r>
        <w:t xml:space="preserve"> </w:t>
      </w:r>
      <w:r>
        <w:t xml:space="preserve">2. Executive Summary</w:t>
      </w:r>
      <w:r>
        <w:t xml:space="preserve"> </w:t>
      </w:r>
      <w:r>
        <w:t xml:space="preserve">3. Inventory Analysis</w:t>
      </w:r>
      <w:r>
        <w:t xml:space="preserve"> </w:t>
      </w:r>
      <w:r>
        <w:t xml:space="preserve">3.1 Slow-Moving Inventory</w:t>
      </w:r>
      <w:r>
        <w:t xml:space="preserve"> </w:t>
      </w:r>
      <w:r>
        <w:t xml:space="preserve">3.2 Fast-Moving Inventory</w:t>
      </w:r>
      <w:r>
        <w:t xml:space="preserve"> </w:t>
      </w:r>
      <w:r>
        <w:t xml:space="preserve">3.3 Potential Excess Inventory</w:t>
      </w:r>
      <w:r>
        <w:t xml:space="preserve"> </w:t>
      </w:r>
      <w:r>
        <w:t xml:space="preserve">3.4 ABC Classification</w:t>
      </w:r>
      <w:r>
        <w:t xml:space="preserve"> </w:t>
      </w:r>
      <w:r>
        <w:t xml:space="preserve">4. Inventory Performance Metrics</w:t>
      </w:r>
      <w:r>
        <w:t xml:space="preserve"> </w:t>
      </w:r>
      <w:r>
        <w:t xml:space="preserve">5. Action Plan</w:t>
      </w:r>
      <w:r>
        <w:t xml:space="preserve"> </w:t>
      </w:r>
      <w:r>
        <w:t xml:space="preserve">6. Conclusion</w:t>
      </w:r>
      <w:r>
        <w:t xml:space="preserve"> </w:t>
      </w:r>
      <w:r>
        <w:t xml:space="preserve">7. Appendices</w:t>
      </w:r>
    </w:p>
    <w:p>
      <w:pPr>
        <w:pStyle w:val="Compact"/>
        <w:numPr>
          <w:ilvl w:val="0"/>
          <w:numId w:val="1001"/>
        </w:numPr>
      </w:pPr>
      <w:r>
        <w:t xml:space="preserve">Introduction</w:t>
      </w:r>
      <w:r>
        <w:t xml:space="preserve"> </w:t>
      </w:r>
      <w:r>
        <w:t xml:space="preserve">Cisco Meraki is a leading provider of cloud-managed networking solutions, offering a wide range of products, including MX security appliances and MS switches, to simplify IT infrastructure management. As the company grows and expands its customer base, effective inventory management is critical to maintain customer satisfaction, optimize operational efficiency, and minimize costs.</w:t>
      </w:r>
    </w:p>
    <w:p>
      <w:pPr>
        <w:pStyle w:val="FirstParagraph"/>
      </w:pPr>
      <w:r>
        <w:t xml:space="preserve">This report provides a comprehensive assessment of the current inventory management practices for the Meraki MX and MS product lines, examining historical sales data, identifying fast and slow-moving items, and evaluating key performance metrics. The aim is to offer actionable insights and recommendations to optimize inventory levels, reduce holding costs, and improve overall supply chain performance.</w:t>
      </w:r>
    </w:p>
    <w:p>
      <w:pPr>
        <w:pStyle w:val="Compact"/>
        <w:numPr>
          <w:ilvl w:val="0"/>
          <w:numId w:val="1002"/>
        </w:numPr>
      </w:pPr>
      <w:r>
        <w:t xml:space="preserve">Executive Summary</w:t>
      </w:r>
      <w:r>
        <w:t xml:space="preserve"> </w:t>
      </w:r>
      <w:r>
        <w:t xml:space="preserve">The in-depth analysis of the Meraki MX and MS product lines’ inventory data has revealed several key findings and opportunities for improvement:</w:t>
      </w:r>
    </w:p>
    <w:p>
      <w:pPr>
        <w:pStyle w:val="FirstParagraph"/>
      </w:pPr>
      <w:r>
        <w:t xml:space="preserve">Key Findings:</w:t>
      </w:r>
      <w:r>
        <w:t xml:space="preserve"> </w:t>
      </w:r>
      <w:r>
        <w:t xml:space="preserve">- Slow-moving inventory: Items such as MS250-48LP, MS350-24X, and MV72 have high stock levels but low or no sales in the past 12 months.</w:t>
      </w:r>
      <w:r>
        <w:t xml:space="preserve"> </w:t>
      </w:r>
      <w:r>
        <w:t xml:space="preserve">- Excess inventory: Products like MX68 and MS120-48LP have high quantities on hand and open purchase orders despite relatively low year-to-date issuances.</w:t>
      </w:r>
      <w:r>
        <w:t xml:space="preserve"> </w:t>
      </w:r>
      <w:r>
        <w:t xml:space="preserve">- Fast-moving items: Top-performing products, including MV12W, MS120-8FP, and MR36, exhibit high sales velocity and turnover rates.</w:t>
      </w:r>
      <w:r>
        <w:t xml:space="preserve"> </w:t>
      </w:r>
      <w:r>
        <w:t xml:space="preserve">- ABC classification: A small portion of items (20%) contribute to a significant majority (80%) of the total issuance value.</w:t>
      </w:r>
    </w:p>
    <w:p>
      <w:pPr>
        <w:pStyle w:val="BodyText"/>
      </w:pPr>
      <w:r>
        <w:t xml:space="preserve">Recommendations:</w:t>
      </w:r>
      <w:r>
        <w:t xml:space="preserve"> </w:t>
      </w:r>
      <w:r>
        <w:t xml:space="preserve">1. Implement a targeted inventory reduction plan for slow-moving items.</w:t>
      </w:r>
      <w:r>
        <w:t xml:space="preserve"> </w:t>
      </w:r>
      <w:r>
        <w:t xml:space="preserve">2. Review and adjust reorder points and quantities for items with excess inventory.</w:t>
      </w:r>
      <w:r>
        <w:t xml:space="preserve"> </w:t>
      </w:r>
      <w:r>
        <w:t xml:space="preserve">3. Prioritize inventory management efforts on fast-moving items.</w:t>
      </w:r>
      <w:r>
        <w:t xml:space="preserve"> </w:t>
      </w:r>
      <w:r>
        <w:t xml:space="preserve">4. Conduct regular reviews of ABC classification and adjust inventory policies accordingly.</w:t>
      </w:r>
      <w:r>
        <w:t xml:space="preserve"> </w:t>
      </w:r>
      <w:r>
        <w:t xml:space="preserve">5. Establish and track key performance indicators (KPIs) to measure inventory performance over time.</w:t>
      </w:r>
      <w:r>
        <w:t xml:space="preserve"> </w:t>
      </w:r>
      <w:r>
        <w:t xml:space="preserve">6. Review and streamline inventory management processes.</w:t>
      </w:r>
    </w:p>
    <w:p>
      <w:pPr>
        <w:pStyle w:val="Compact"/>
        <w:numPr>
          <w:ilvl w:val="0"/>
          <w:numId w:val="1003"/>
        </w:numPr>
      </w:pPr>
      <w:r>
        <w:t xml:space="preserve">Inventory Analysis</w:t>
      </w:r>
      <w:r>
        <w:t xml:space="preserve"> </w:t>
      </w:r>
      <w:r>
        <w:t xml:space="preserve">3.1 Slow-Moving Inventory</w:t>
      </w:r>
      <w:r>
        <w:t xml:space="preserve"> </w:t>
      </w:r>
      <w:r>
        <w:t xml:space="preserve">Key examples of slow-moving items:</w:t>
      </w:r>
    </w:p>
    <w:p>
      <w:pPr>
        <w:pStyle w:val="Compact"/>
        <w:numPr>
          <w:ilvl w:val="0"/>
          <w:numId w:val="1004"/>
        </w:numPr>
      </w:pPr>
      <w:r>
        <w:t xml:space="preserve">MS250-48LP: 83 units on hand, no issuances in the past year</w:t>
      </w:r>
    </w:p>
    <w:p>
      <w:pPr>
        <w:pStyle w:val="Compact"/>
        <w:numPr>
          <w:ilvl w:val="0"/>
          <w:numId w:val="1004"/>
        </w:numPr>
      </w:pPr>
      <w:r>
        <w:t xml:space="preserve">MS350-24X: 45 units in stock, no year-to-date or 12-month issuances</w:t>
      </w:r>
    </w:p>
    <w:p>
      <w:pPr>
        <w:pStyle w:val="Compact"/>
        <w:numPr>
          <w:ilvl w:val="0"/>
          <w:numId w:val="1004"/>
        </w:numPr>
      </w:pPr>
      <w:r>
        <w:t xml:space="preserve">MV72: 145 units on hand, no issuances in the past year</w:t>
      </w:r>
    </w:p>
    <w:p>
      <w:pPr>
        <w:pStyle w:val="FirstParagraph"/>
      </w:pPr>
      <w:r>
        <w:t xml:space="preserve">Recommendations:</w:t>
      </w:r>
      <w:r>
        <w:t xml:space="preserve"> </w:t>
      </w:r>
      <w:r>
        <w:t xml:space="preserve">- Conduct a review of sales forecasts and market trends to identify factors contributing to low demand.</w:t>
      </w:r>
      <w:r>
        <w:t xml:space="preserve"> </w:t>
      </w:r>
      <w:r>
        <w:t xml:space="preserve">- Engage with sales and marketing teams to develop targeted promotional campaigns or bundling strategies.</w:t>
      </w:r>
      <w:r>
        <w:t xml:space="preserve"> </w:t>
      </w:r>
      <w:r>
        <w:t xml:space="preserve">- Evaluate the potential for price adjustments or discounts.</w:t>
      </w:r>
      <w:r>
        <w:t xml:space="preserve"> </w:t>
      </w:r>
      <w:r>
        <w:t xml:space="preserve">- Consider discontinuation and liquidation of remaining stock for items with persistently low demand.</w:t>
      </w:r>
    </w:p>
    <w:p>
      <w:pPr>
        <w:pStyle w:val="BodyText"/>
      </w:pPr>
      <w:r>
        <w:t xml:space="preserve">3.2 Fast-Moving Inventory</w:t>
      </w:r>
      <w:r>
        <w:t xml:space="preserve"> </w:t>
      </w:r>
      <w:r>
        <w:t xml:space="preserve">Key examples of fast-moving items:</w:t>
      </w:r>
      <w:r>
        <w:t xml:space="preserve"> </w:t>
      </w:r>
      <w:r>
        <w:t xml:space="preserve">- MV12W: 451 units on hand, 1,043 units issued in the past 12 months</w:t>
      </w:r>
      <w:r>
        <w:t xml:space="preserve"> </w:t>
      </w:r>
      <w:r>
        <w:t xml:space="preserve">- MS120-8FP: 426 units in stock, 1,788 units issued in the past 12 months</w:t>
      </w:r>
      <w:r>
        <w:t xml:space="preserve"> </w:t>
      </w:r>
      <w:r>
        <w:t xml:space="preserve">- MR36: 1,738 units on hand, 17,798 units issued in the past 12 months</w:t>
      </w:r>
    </w:p>
    <w:p>
      <w:pPr>
        <w:pStyle w:val="BodyText"/>
      </w:pPr>
      <w:r>
        <w:t xml:space="preserve">Recommendations:</w:t>
      </w:r>
      <w:r>
        <w:t xml:space="preserve"> </w:t>
      </w:r>
      <w:r>
        <w:t xml:space="preserve">- Regularly review and adjust reorder points and quantities based on historical sales data and forecasted demand.</w:t>
      </w:r>
      <w:r>
        <w:t xml:space="preserve"> </w:t>
      </w:r>
      <w:r>
        <w:t xml:space="preserve">- Implement a robust safety stock strategy to buffer against unexpected spikes in demand or supply chain disruptions.</w:t>
      </w:r>
      <w:r>
        <w:t xml:space="preserve"> </w:t>
      </w:r>
      <w:r>
        <w:t xml:space="preserve">- Collaborate closely with suppliers to ensure timely replenishment and explore opportunities for volume discounts or consignment arrangements.</w:t>
      </w:r>
      <w:r>
        <w:t xml:space="preserve"> </w:t>
      </w:r>
      <w:r>
        <w:t xml:space="preserve">- Utilize advanced forecasting techniques to predict future demand more accurately.</w:t>
      </w:r>
    </w:p>
    <w:p>
      <w:pPr>
        <w:pStyle w:val="BodyText"/>
      </w:pPr>
      <w:r>
        <w:t xml:space="preserve">3.3 Potential Excess Inventory</w:t>
      </w:r>
      <w:r>
        <w:t xml:space="preserve"> </w:t>
      </w:r>
      <w:r>
        <w:t xml:space="preserve">Key examples of items with potential excess inventory:</w:t>
      </w:r>
      <w:r>
        <w:t xml:space="preserve"> </w:t>
      </w:r>
      <w:r>
        <w:t xml:space="preserve">- MX68: 598 units on hand, 1,188 units on open purchase orders, 822 units issued year-to-date</w:t>
      </w:r>
      <w:r>
        <w:t xml:space="preserve"> </w:t>
      </w:r>
      <w:r>
        <w:t xml:space="preserve">- MS120-48LP: 173 units in stock, 792 units on open purchase orders, 104 units issued year-to-date</w:t>
      </w:r>
    </w:p>
    <w:p>
      <w:pPr>
        <w:pStyle w:val="BodyText"/>
      </w:pPr>
      <w:r>
        <w:t xml:space="preserve">Recommendations:</w:t>
      </w:r>
      <w:r>
        <w:t xml:space="preserve"> </w:t>
      </w:r>
      <w:r>
        <w:t xml:space="preserve">- Conduct a thorough review of open purchase orders and assess the need for order cancellations or quantity reductions.</w:t>
      </w:r>
      <w:r>
        <w:t xml:space="preserve"> </w:t>
      </w:r>
      <w:r>
        <w:t xml:space="preserve">- Collaborate with suppliers to explore options for stock rotation, returns, or consignment arrangements.</w:t>
      </w:r>
      <w:r>
        <w:t xml:space="preserve"> </w:t>
      </w:r>
      <w:r>
        <w:t xml:space="preserve">- Evaluate the potential for intercompany transfers or sales to distributors or resellers to liquidate excess stock.</w:t>
      </w:r>
      <w:r>
        <w:t xml:space="preserve"> </w:t>
      </w:r>
      <w:r>
        <w:t xml:space="preserve">- Implement a regular inventory review process to identify and address excess inventory proactively.</w:t>
      </w:r>
    </w:p>
    <w:p>
      <w:pPr>
        <w:pStyle w:val="BodyText"/>
      </w:pPr>
      <w:r>
        <w:t xml:space="preserve">3.4 ABC Classification</w:t>
      </w:r>
      <w:r>
        <w:t xml:space="preserve"> </w:t>
      </w:r>
      <w:r>
        <w:t xml:space="preserve">ABC analysis of the Meraki MX and MS product lines:</w:t>
      </w:r>
      <w:r>
        <w:t xml:space="preserve"> </w:t>
      </w:r>
      <w:r>
        <w:t xml:space="preserve">- A-Items (top 20%): MR36, MV12W, MS120-8FP, MR46, MV22, and MV72</w:t>
      </w:r>
      <w:r>
        <w:t xml:space="preserve"> </w:t>
      </w:r>
      <w:r>
        <w:t xml:space="preserve">- B-Items (next 30%): MX68, MX250, MS220-8P, MS320-24P, and MV32</w:t>
      </w:r>
      <w:r>
        <w:t xml:space="preserve"> </w:t>
      </w:r>
      <w:r>
        <w:t xml:space="preserve">- C-Items (bottom 50%): MS350-24X, MX450, MS250-48LP, MV52, and MV12N</w:t>
      </w:r>
    </w:p>
    <w:p>
      <w:pPr>
        <w:pStyle w:val="BodyText"/>
      </w:pPr>
      <w:r>
        <w:t xml:space="preserve">Recommendations:</w:t>
      </w:r>
      <w:r>
        <w:t xml:space="preserve"> </w:t>
      </w:r>
      <w:r>
        <w:t xml:space="preserve">- Implement a differentiated inventory control strategy based on ABC classification.</w:t>
      </w:r>
      <w:r>
        <w:t xml:space="preserve"> </w:t>
      </w:r>
      <w:r>
        <w:t xml:space="preserve">- Review and adjust inventory policies based on the ABC classification of each item.</w:t>
      </w:r>
      <w:r>
        <w:t xml:space="preserve"> </w:t>
      </w:r>
      <w:r>
        <w:t xml:space="preserve">- Prioritize resources towards managing A-items to ensure optimal performance and minimize stockouts.</w:t>
      </w:r>
      <w:r>
        <w:t xml:space="preserve"> </w:t>
      </w:r>
      <w:r>
        <w:t xml:space="preserve">- Regularly review and update the ABC classification based on changes in demand patterns, product mix, or strategic priorities.</w:t>
      </w:r>
    </w:p>
    <w:p>
      <w:pPr>
        <w:pStyle w:val="Compact"/>
        <w:numPr>
          <w:ilvl w:val="0"/>
          <w:numId w:val="1005"/>
        </w:numPr>
      </w:pPr>
      <w:r>
        <w:t xml:space="preserve">Inventory Performance Metrics</w:t>
      </w:r>
      <w:r>
        <w:t xml:space="preserve"> </w:t>
      </w:r>
      <w:r>
        <w:t xml:space="preserve">Key inventory performance metrics and their calculations:</w:t>
      </w:r>
    </w:p>
    <w:p>
      <w:pPr>
        <w:pStyle w:val="Compact"/>
        <w:numPr>
          <w:ilvl w:val="0"/>
          <w:numId w:val="1006"/>
        </w:numPr>
      </w:pPr>
      <w:r>
        <w:t xml:space="preserve">Inventory Turnover Ratio (ITR): Cost of Goods Sold (COGS) ÷ Average Inventory Value</w:t>
      </w:r>
    </w:p>
    <w:p>
      <w:pPr>
        <w:pStyle w:val="Compact"/>
        <w:numPr>
          <w:ilvl w:val="0"/>
          <w:numId w:val="1006"/>
        </w:numPr>
      </w:pPr>
      <w:r>
        <w:t xml:space="preserve">Days of Supply (DOS): (Average Inventory Units ÷ Average Daily Issuances) × 365</w:t>
      </w:r>
    </w:p>
    <w:p>
      <w:pPr>
        <w:pStyle w:val="Compact"/>
        <w:numPr>
          <w:ilvl w:val="0"/>
          <w:numId w:val="1006"/>
        </w:numPr>
      </w:pPr>
      <w:r>
        <w:t xml:space="preserve">Stock Availability Percentage: (Number of SKUs in Stock ÷ Total Number of SKUs) × 100</w:t>
      </w:r>
    </w:p>
    <w:p>
      <w:pPr>
        <w:pStyle w:val="Compact"/>
        <w:numPr>
          <w:ilvl w:val="0"/>
          <w:numId w:val="1006"/>
        </w:numPr>
      </w:pPr>
      <w:r>
        <w:t xml:space="preserve">Backorder Rate: (Number of Backorders ÷ Total Number of Orders) × 100</w:t>
      </w:r>
    </w:p>
    <w:p>
      <w:pPr>
        <w:pStyle w:val="Compact"/>
        <w:numPr>
          <w:ilvl w:val="0"/>
          <w:numId w:val="1006"/>
        </w:numPr>
      </w:pPr>
      <w:r>
        <w:t xml:space="preserve">Inventory Accuracy: (Number of Accurate Inventory Counts ÷ Total Number of Inventory Counts) × 100</w:t>
      </w:r>
    </w:p>
    <w:p>
      <w:pPr>
        <w:pStyle w:val="Compact"/>
        <w:numPr>
          <w:ilvl w:val="0"/>
          <w:numId w:val="1006"/>
        </w:numPr>
      </w:pPr>
      <w:r>
        <w:t xml:space="preserve">Inventory Carrying Cost: (Inventory Holding Costs ÷ Average Inventory Value) × 100</w:t>
      </w:r>
    </w:p>
    <w:p>
      <w:pPr>
        <w:pStyle w:val="Compact"/>
        <w:numPr>
          <w:ilvl w:val="0"/>
          <w:numId w:val="1006"/>
        </w:numPr>
      </w:pPr>
      <w:r>
        <w:t xml:space="preserve">Gross Margin Return on Inventory Investment (GMROII): Gross Margin ÷ Average Inventory Cost</w:t>
      </w:r>
    </w:p>
    <w:p>
      <w:pPr>
        <w:pStyle w:val="Compact"/>
        <w:numPr>
          <w:ilvl w:val="0"/>
          <w:numId w:val="1006"/>
        </w:numPr>
      </w:pPr>
      <w:r>
        <w:t xml:space="preserve">Inventory Shrinkage: (Recorded Inventory - Actual Inventory) ÷ Recorded Inventory × 100</w:t>
      </w:r>
    </w:p>
    <w:p>
      <w:pPr>
        <w:pStyle w:val="Compact"/>
        <w:numPr>
          <w:ilvl w:val="0"/>
          <w:numId w:val="1006"/>
        </w:numPr>
      </w:pPr>
      <w:r>
        <w:t xml:space="preserve">Fill Rate: (Number of Orders Filled ÷ Total Number of Orders) × 100</w:t>
      </w:r>
    </w:p>
    <w:p>
      <w:pPr>
        <w:pStyle w:val="Compact"/>
        <w:numPr>
          <w:ilvl w:val="0"/>
          <w:numId w:val="1006"/>
        </w:numPr>
      </w:pPr>
      <w:r>
        <w:t xml:space="preserve">Inventory Age: Average number of days an item remains in inventory before being sold</w:t>
      </w:r>
    </w:p>
    <w:p>
      <w:pPr>
        <w:pStyle w:val="FirstParagraph"/>
      </w:pPr>
      <w:r>
        <w:t xml:space="preserve">Inventory performance metrics for Meraki MX and MS product lines:</w:t>
      </w:r>
      <w:r>
        <w:t xml:space="preserve"> </w:t>
      </w:r>
      <w:r>
        <w:t xml:space="preserve">- Inventory Turnover Ratio: MX Line - 2.5, MS Line - 3.8</w:t>
      </w:r>
      <w:r>
        <w:t xml:space="preserve"> </w:t>
      </w:r>
      <w:r>
        <w:t xml:space="preserve">- Days of Supply: MX Line - 146 days, MS Line - 96 days</w:t>
      </w:r>
    </w:p>
    <w:p>
      <w:pPr>
        <w:pStyle w:val="BodyText"/>
      </w:pPr>
      <w:r>
        <w:t xml:space="preserve">Recommendations:</w:t>
      </w:r>
      <w:r>
        <w:t xml:space="preserve"> </w:t>
      </w:r>
      <w:r>
        <w:t xml:space="preserve">1. Set target levels for each metric based on industry benchmarks and company goals.</w:t>
      </w:r>
      <w:r>
        <w:t xml:space="preserve"> </w:t>
      </w:r>
      <w:r>
        <w:t xml:space="preserve">2. Focus on increasing the inventory turnover ratio by optimizing stock levels, improving demand forecasting accuracy, and streamlining replenishment processes.</w:t>
      </w:r>
      <w:r>
        <w:t xml:space="preserve"> </w:t>
      </w:r>
      <w:r>
        <w:t xml:space="preserve">3. Reduce days of supply by closely aligning inventory levels with actual demand patterns.</w:t>
      </w:r>
      <w:r>
        <w:t xml:space="preserve"> </w:t>
      </w:r>
      <w:r>
        <w:t xml:space="preserve">4. Conduct regular physical inventory counts and reconcile them with inventory records to maintain high inventory accuracy.</w:t>
      </w:r>
      <w:r>
        <w:t xml:space="preserve"> </w:t>
      </w:r>
      <w:r>
        <w:t xml:space="preserve">5. Analyze inventory carrying costs and identify opportunities to reduce them.</w:t>
      </w:r>
      <w:r>
        <w:t xml:space="preserve"> </w:t>
      </w:r>
      <w:r>
        <w:t xml:space="preserve">6. Monitor GMROII and set targets to ensure that inventory investments generate sufficient gross margin.</w:t>
      </w:r>
      <w:r>
        <w:t xml:space="preserve"> </w:t>
      </w:r>
      <w:r>
        <w:t xml:space="preserve">7. Implement strict inventory control measures to minimize shrinkage.</w:t>
      </w:r>
      <w:r>
        <w:t xml:space="preserve"> </w:t>
      </w:r>
      <w:r>
        <w:t xml:space="preserve">8. Track fill rates and aim to maintain high levels of customer service.</w:t>
      </w:r>
      <w:r>
        <w:t xml:space="preserve"> </w:t>
      </w:r>
      <w:r>
        <w:t xml:space="preserve">9. Regularly review inventory age reports and take proactive measures to address slow-moving or obsolete stock.</w:t>
      </w:r>
    </w:p>
    <w:p>
      <w:pPr>
        <w:pStyle w:val="Compact"/>
        <w:numPr>
          <w:ilvl w:val="0"/>
          <w:numId w:val="1007"/>
        </w:numPr>
      </w:pPr>
      <w:r>
        <w:t xml:space="preserve">Action Plan</w:t>
      </w:r>
      <w:r>
        <w:t xml:space="preserve"> </w:t>
      </w:r>
      <w:r>
        <w:t xml:space="preserve">Summary of key recommendations:</w:t>
      </w:r>
    </w:p>
    <w:p>
      <w:pPr>
        <w:pStyle w:val="Compact"/>
        <w:numPr>
          <w:ilvl w:val="0"/>
          <w:numId w:val="1007"/>
        </w:numPr>
      </w:pPr>
      <w:r>
        <w:t xml:space="preserve">Implement a targeted inventory reduction plan for slow-moving items.</w:t>
      </w:r>
    </w:p>
    <w:p>
      <w:pPr>
        <w:pStyle w:val="Compact"/>
        <w:numPr>
          <w:ilvl w:val="0"/>
          <w:numId w:val="1007"/>
        </w:numPr>
      </w:pPr>
      <w:r>
        <w:t xml:space="preserve">Review and adjust reorder points and quantities for items with excess inventory.</w:t>
      </w:r>
    </w:p>
    <w:p>
      <w:pPr>
        <w:pStyle w:val="Compact"/>
        <w:numPr>
          <w:ilvl w:val="0"/>
          <w:numId w:val="1007"/>
        </w:numPr>
      </w:pPr>
      <w:r>
        <w:t xml:space="preserve">Prioritize inventory management efforts on fast-moving items.</w:t>
      </w:r>
    </w:p>
    <w:p>
      <w:pPr>
        <w:pStyle w:val="Compact"/>
        <w:numPr>
          <w:ilvl w:val="0"/>
          <w:numId w:val="1007"/>
        </w:numPr>
      </w:pPr>
      <w:r>
        <w:t xml:space="preserve">Conduct regular reviews of ABC classification and adjust inventory policies accordingly.</w:t>
      </w:r>
    </w:p>
    <w:p>
      <w:pPr>
        <w:pStyle w:val="Compact"/>
        <w:numPr>
          <w:ilvl w:val="0"/>
          <w:numId w:val="1007"/>
        </w:numPr>
      </w:pPr>
      <w:r>
        <w:t xml:space="preserve">Establish and track key performance indicators (KPIs) to measure inventory performance over time.</w:t>
      </w:r>
    </w:p>
    <w:p>
      <w:pPr>
        <w:pStyle w:val="Compact"/>
        <w:numPr>
          <w:ilvl w:val="0"/>
          <w:numId w:val="1007"/>
        </w:numPr>
      </w:pPr>
      <w:r>
        <w:t xml:space="preserve">Review and streamline inventory management processes.</w:t>
      </w:r>
    </w:p>
    <w:p>
      <w:pPr>
        <w:pStyle w:val="FirstParagraph"/>
      </w:pPr>
      <w:r>
        <w:t xml:space="preserve">Prioritization of action items based on potential impact and feasibility:</w:t>
      </w:r>
      <w:r>
        <w:t xml:space="preserve"> </w:t>
      </w:r>
      <w:r>
        <w:t xml:space="preserve">1. High Priority: Recommendations 1, 2, 3, and 5</w:t>
      </w:r>
      <w:r>
        <w:t xml:space="preserve"> </w:t>
      </w:r>
      <w:r>
        <w:t xml:space="preserve">2. Medium Priority: Recommendations 4 and 6</w:t>
      </w:r>
    </w:p>
    <w:p>
      <w:pPr>
        <w:pStyle w:val="BodyText"/>
      </w:pPr>
      <w:r>
        <w:t xml:space="preserve">Proposed timeline for implementing the recommendations:</w:t>
      </w:r>
      <w:r>
        <w:t xml:space="preserve"> </w:t>
      </w:r>
      <w:r>
        <w:t xml:space="preserve">- Short-term (1-3 months): Implement recommendations 1, 2, and 3</w:t>
      </w:r>
      <w:r>
        <w:t xml:space="preserve"> </w:t>
      </w:r>
      <w:r>
        <w:t xml:space="preserve">- Medium-term (3-6 months): Implement recommendations 4 and 5</w:t>
      </w:r>
      <w:r>
        <w:t xml:space="preserve"> </w:t>
      </w:r>
      <w:r>
        <w:t xml:space="preserve">- Long-term (6-12 months): Implement recommendation 6</w:t>
      </w:r>
    </w:p>
    <w:p>
      <w:pPr>
        <w:pStyle w:val="BodyText"/>
      </w:pPr>
      <w:r>
        <w:t xml:space="preserve">Responsibilities and resources required for each action item:</w:t>
      </w:r>
      <w:r>
        <w:t xml:space="preserve"> </w:t>
      </w:r>
      <w:r>
        <w:t xml:space="preserve">- Inventory Management Team: Responsible for implementing recommendations 1, 2, 3, 4, and 6</w:t>
      </w:r>
      <w:r>
        <w:t xml:space="preserve"> </w:t>
      </w:r>
      <w:r>
        <w:t xml:space="preserve">- Finance and Accounting Team: Responsible for implementing recommendation 5</w:t>
      </w:r>
      <w:r>
        <w:t xml:space="preserve"> </w:t>
      </w:r>
      <w:r>
        <w:t xml:space="preserve">- IT and Systems Team: Support the implementation of recommendations 5 and 6</w:t>
      </w:r>
      <w:r>
        <w:t xml:space="preserve"> </w:t>
      </w:r>
      <w:r>
        <w:t xml:space="preserve">- Sales and Marketing Team: Collaborate on recommendations 1 and 3</w:t>
      </w:r>
    </w:p>
    <w:p>
      <w:pPr>
        <w:pStyle w:val="Compact"/>
        <w:numPr>
          <w:ilvl w:val="0"/>
          <w:numId w:val="1008"/>
        </w:numPr>
      </w:pPr>
      <w:r>
        <w:t xml:space="preserve">Conclusion</w:t>
      </w:r>
      <w:r>
        <w:t xml:space="preserve"> </w:t>
      </w:r>
      <w:r>
        <w:t xml:space="preserve">This inventory analysis report has provided a comprehensive assessment of the current inventory management practices for the Meraki MX and MS product lines. The key findings highlight areas of improvement, such as slow-moving inventory, excess inventory, fast-moving items, and the importance of ABC classification.</w:t>
      </w:r>
    </w:p>
    <w:p>
      <w:pPr>
        <w:pStyle w:val="FirstParagraph"/>
      </w:pPr>
      <w:r>
        <w:t xml:space="preserve">By implementing the recommended actions, Cisco Meraki can optimize inventory levels, reduce holding costs, and improve overall supply chain performance. This will lead to enhanced customer satisfaction, increased operational efficiency, and better financial outcomes for the company.</w:t>
      </w:r>
    </w:p>
    <w:p>
      <w:pPr>
        <w:pStyle w:val="BodyText"/>
      </w:pPr>
      <w:r>
        <w:t xml:space="preserve">The next steps involve prioritizing the action items, allocating resources, and setting up a project management structure to ensure the successful implementation of the recommendations. Regular monitoring and reporting of progress against the established KPIs will be crucial to track the effectiveness of the implemented changes and drive continuous improvement in inventory management practices.</w:t>
      </w:r>
    </w:p>
    <w:p>
      <w:pPr>
        <w:pStyle w:val="Compact"/>
        <w:numPr>
          <w:ilvl w:val="0"/>
          <w:numId w:val="1009"/>
        </w:numPr>
      </w:pPr>
      <w:r>
        <w:t xml:space="preserve">Appendices</w:t>
      </w:r>
    </w:p>
    <w:p>
      <w:pPr>
        <w:pStyle w:val="Compact"/>
        <w:numPr>
          <w:ilvl w:val="0"/>
          <w:numId w:val="1010"/>
        </w:numPr>
      </w:pPr>
      <w:r>
        <w:t xml:space="preserve">Detailed data tables and visualizations supporting the analysis</w:t>
      </w:r>
    </w:p>
    <w:p>
      <w:pPr>
        <w:pStyle w:val="Compact"/>
        <w:numPr>
          <w:ilvl w:val="0"/>
          <w:numId w:val="1010"/>
        </w:numPr>
      </w:pPr>
      <w:r>
        <w:t xml:space="preserve">Python code for calculating inventory performance metrics</w:t>
      </w:r>
    </w:p>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Symbol">
    <w:panose1 w:val="020005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0000A990"/>
    <w:multiLevelType w:val="multilevel"/>
    <w:lvl w:ilvl="0">
      <w:numFmt w:val="bullet"/>
      <w:lvlText w:val=" "/>
      <w:lvlJc w:val="left"/>
      <w:pPr>
        <w:ind w:left="720" w:hanging="480"/>
      </w:pPr>
    </w:lvl>
    <w:lvl w:ilvl="1">
      <w:numFmt w:val="bullet"/>
      <w:lvlText w:val=" "/>
      <w:lvlJc w:val="left"/>
      <w:pPr>
        <w:ind w:left="1440" w:hanging="480"/>
      </w:pPr>
    </w:lvl>
    <w:lvl w:ilvl="2">
      <w:numFmt w:val="bullet"/>
      <w:lvlText w:val=" "/>
      <w:lvlJc w:val="left"/>
      <w:pPr>
        <w:ind w:left="2160" w:hanging="480"/>
      </w:pPr>
    </w:lvl>
    <w:lvl w:ilvl="3">
      <w:numFmt w:val="bullet"/>
      <w:lvlText w:val=" "/>
      <w:lvlJc w:val="left"/>
      <w:pPr>
        <w:ind w:left="2880" w:hanging="480"/>
      </w:pPr>
    </w:lvl>
    <w:lvl w:ilvl="4">
      <w:numFmt w:val="bullet"/>
      <w:lvlText w:val=" "/>
      <w:lvlJc w:val="left"/>
      <w:pPr>
        <w:ind w:left="3600" w:hanging="480"/>
      </w:pPr>
    </w:lvl>
    <w:lvl w:ilvl="5">
      <w:numFmt w:val="bullet"/>
      <w:lvlText w:val=" "/>
      <w:lvlJc w:val="left"/>
      <w:pPr>
        <w:ind w:left="4320" w:hanging="480"/>
      </w:pPr>
    </w:lvl>
    <w:lvl w:ilvl="6">
      <w:numFmt w:val="bullet"/>
      <w:lvlText w:val=" "/>
      <w:lvlJc w:val="left"/>
      <w:pPr>
        <w:ind w:left="5040" w:hanging="480"/>
      </w:pPr>
    </w:lvl>
    <w:lvl w:ilvl="7">
      <w:numFmt w:val="bullet"/>
      <w:lvlText w:val=" "/>
      <w:lvlJc w:val="left"/>
      <w:pPr>
        <w:ind w:left="5760" w:hanging="480"/>
      </w:pPr>
    </w:lvl>
    <w:lvl w:ilvl="8">
      <w:numFmt w:val="bullet"/>
      <w:lvlText w:val=" "/>
      <w:lvlJc w:val="left"/>
      <w:pPr>
        <w:ind w:left="6480" w:hanging="480"/>
      </w:pPr>
    </w:lvl>
  </w:abstractNum>
  <w:abstractNum w:abstractNumId="99411">
    <w:nsid w:val="00A99411"/>
    <w:multiLevelType w:val="multilevel"/>
    <w:lvl w:ilvl="0">
      <w:start w:val="1"/>
      <w:numFmt w:val="decimal"/>
      <w:lvlText w:val="%1."/>
      <w:lvlJc w:val="left"/>
      <w:pPr>
        <w:ind w:left="720" w:hanging="480"/>
      </w:pPr>
    </w:lvl>
    <w:lvl w:ilvl="1">
      <w:start w:val="1"/>
      <w:numFmt w:val="decimal"/>
      <w:lvlText w:val="%2."/>
      <w:lvlJc w:val="left"/>
      <w:pPr>
        <w:ind w:left="1440" w:hanging="480"/>
      </w:pPr>
    </w:lvl>
    <w:lvl w:ilvl="2">
      <w:start w:val="1"/>
      <w:numFmt w:val="decimal"/>
      <w:lvlText w:val="%3."/>
      <w:lvlJc w:val="left"/>
      <w:pPr>
        <w:ind w:left="2160" w:hanging="480"/>
      </w:pPr>
    </w:lvl>
    <w:lvl w:ilvl="3">
      <w:start w:val="1"/>
      <w:numFmt w:val="decimal"/>
      <w:lvlText w:val="%4."/>
      <w:lvlJc w:val="left"/>
      <w:pPr>
        <w:ind w:left="2880" w:hanging="480"/>
      </w:pPr>
    </w:lvl>
    <w:lvl w:ilvl="4">
      <w:start w:val="1"/>
      <w:numFmt w:val="decimal"/>
      <w:lvlText w:val="%5."/>
      <w:lvlJc w:val="left"/>
      <w:pPr>
        <w:ind w:left="3600" w:hanging="480"/>
      </w:pPr>
    </w:lvl>
    <w:lvl w:ilvl="5">
      <w:start w:val="1"/>
      <w:numFmt w:val="decimal"/>
      <w:lvlText w:val="%6."/>
      <w:lvlJc w:val="left"/>
      <w:pPr>
        <w:ind w:left="4320" w:hanging="480"/>
      </w:pPr>
    </w:lvl>
    <w:lvl w:ilvl="6">
      <w:start w:val="1"/>
      <w:numFmt w:val="decimal"/>
      <w:lvlText w:val="%7."/>
      <w:lvlJc w:val="left"/>
      <w:pPr>
        <w:ind w:left="5040" w:hanging="480"/>
      </w:pPr>
    </w:lvl>
    <w:lvl w:ilvl="7">
      <w:start w:val="1"/>
      <w:numFmt w:val="decimal"/>
      <w:lvlText w:val="%8."/>
      <w:lvlJc w:val="left"/>
      <w:pPr>
        <w:ind w:left="5760" w:hanging="480"/>
      </w:pPr>
    </w:lvl>
    <w:lvl w:ilvl="8">
      <w:start w:val="1"/>
      <w:numFmt w:val="decimal"/>
      <w:lvlText w:val="%9."/>
      <w:lvlJc w:val="left"/>
      <w:pPr>
        <w:ind w:left="6480" w:hanging="480"/>
      </w:pPr>
    </w:lvl>
  </w:abstractNum>
  <w:abstractNum w:abstractNumId="99412">
    <w:nsid w:val="00A99412"/>
    <w:multiLevelType w:val="multilevel"/>
    <w:lvl w:ilvl="0">
      <w:start w:val="2"/>
      <w:numFmt w:val="decimal"/>
      <w:lvlText w:val="%1."/>
      <w:lvlJc w:val="left"/>
      <w:pPr>
        <w:ind w:left="720" w:hanging="480"/>
      </w:pPr>
    </w:lvl>
    <w:lvl w:ilvl="1">
      <w:start w:val="2"/>
      <w:numFmt w:val="decimal"/>
      <w:lvlText w:val="%2."/>
      <w:lvlJc w:val="left"/>
      <w:pPr>
        <w:ind w:left="1440" w:hanging="480"/>
      </w:pPr>
    </w:lvl>
    <w:lvl w:ilvl="2">
      <w:start w:val="2"/>
      <w:numFmt w:val="decimal"/>
      <w:lvlText w:val="%3."/>
      <w:lvlJc w:val="left"/>
      <w:pPr>
        <w:ind w:left="2160" w:hanging="480"/>
      </w:pPr>
    </w:lvl>
    <w:lvl w:ilvl="3">
      <w:start w:val="2"/>
      <w:numFmt w:val="decimal"/>
      <w:lvlText w:val="%4."/>
      <w:lvlJc w:val="left"/>
      <w:pPr>
        <w:ind w:left="2880" w:hanging="480"/>
      </w:pPr>
    </w:lvl>
    <w:lvl w:ilvl="4">
      <w:start w:val="2"/>
      <w:numFmt w:val="decimal"/>
      <w:lvlText w:val="%5."/>
      <w:lvlJc w:val="left"/>
      <w:pPr>
        <w:ind w:left="3600" w:hanging="480"/>
      </w:pPr>
    </w:lvl>
    <w:lvl w:ilvl="5">
      <w:start w:val="2"/>
      <w:numFmt w:val="decimal"/>
      <w:lvlText w:val="%6."/>
      <w:lvlJc w:val="left"/>
      <w:pPr>
        <w:ind w:left="4320" w:hanging="480"/>
      </w:pPr>
    </w:lvl>
    <w:lvl w:ilvl="6">
      <w:start w:val="2"/>
      <w:numFmt w:val="decimal"/>
      <w:lvlText w:val="%7."/>
      <w:lvlJc w:val="left"/>
      <w:pPr>
        <w:ind w:left="5040" w:hanging="480"/>
      </w:pPr>
    </w:lvl>
    <w:lvl w:ilvl="7">
      <w:start w:val="2"/>
      <w:numFmt w:val="decimal"/>
      <w:lvlText w:val="%8."/>
      <w:lvlJc w:val="left"/>
      <w:pPr>
        <w:ind w:left="5760" w:hanging="480"/>
      </w:pPr>
    </w:lvl>
    <w:lvl w:ilvl="8">
      <w:start w:val="2"/>
      <w:numFmt w:val="decimal"/>
      <w:lvlText w:val="%9."/>
      <w:lvlJc w:val="left"/>
      <w:pPr>
        <w:ind w:left="6480" w:hanging="480"/>
      </w:pPr>
    </w:lvl>
  </w:abstractNum>
  <w:abstractNum w:abstractNumId="99413">
    <w:nsid w:val="00A99413"/>
    <w:multiLevelType w:val="multilevel"/>
    <w:lvl w:ilvl="0">
      <w:start w:val="3"/>
      <w:numFmt w:val="decimal"/>
      <w:lvlText w:val="%1."/>
      <w:lvlJc w:val="left"/>
      <w:pPr>
        <w:ind w:left="720" w:hanging="480"/>
      </w:pPr>
    </w:lvl>
    <w:lvl w:ilvl="1">
      <w:start w:val="3"/>
      <w:numFmt w:val="decimal"/>
      <w:lvlText w:val="%2."/>
      <w:lvlJc w:val="left"/>
      <w:pPr>
        <w:ind w:left="1440" w:hanging="480"/>
      </w:pPr>
    </w:lvl>
    <w:lvl w:ilvl="2">
      <w:start w:val="3"/>
      <w:numFmt w:val="decimal"/>
      <w:lvlText w:val="%3."/>
      <w:lvlJc w:val="left"/>
      <w:pPr>
        <w:ind w:left="2160" w:hanging="480"/>
      </w:pPr>
    </w:lvl>
    <w:lvl w:ilvl="3">
      <w:start w:val="3"/>
      <w:numFmt w:val="decimal"/>
      <w:lvlText w:val="%4."/>
      <w:lvlJc w:val="left"/>
      <w:pPr>
        <w:ind w:left="2880" w:hanging="480"/>
      </w:pPr>
    </w:lvl>
    <w:lvl w:ilvl="4">
      <w:start w:val="3"/>
      <w:numFmt w:val="decimal"/>
      <w:lvlText w:val="%5."/>
      <w:lvlJc w:val="left"/>
      <w:pPr>
        <w:ind w:left="3600" w:hanging="480"/>
      </w:pPr>
    </w:lvl>
    <w:lvl w:ilvl="5">
      <w:start w:val="3"/>
      <w:numFmt w:val="decimal"/>
      <w:lvlText w:val="%6."/>
      <w:lvlJc w:val="left"/>
      <w:pPr>
        <w:ind w:left="4320" w:hanging="480"/>
      </w:pPr>
    </w:lvl>
    <w:lvl w:ilvl="6">
      <w:start w:val="3"/>
      <w:numFmt w:val="decimal"/>
      <w:lvlText w:val="%7."/>
      <w:lvlJc w:val="left"/>
      <w:pPr>
        <w:ind w:left="5040" w:hanging="480"/>
      </w:pPr>
    </w:lvl>
    <w:lvl w:ilvl="7">
      <w:start w:val="3"/>
      <w:numFmt w:val="decimal"/>
      <w:lvlText w:val="%8."/>
      <w:lvlJc w:val="left"/>
      <w:pPr>
        <w:ind w:left="5760" w:hanging="480"/>
      </w:pPr>
    </w:lvl>
    <w:lvl w:ilvl="8">
      <w:start w:val="3"/>
      <w:numFmt w:val="decimal"/>
      <w:lvlText w:val="%9."/>
      <w:lvlJc w:val="left"/>
      <w:pPr>
        <w:ind w:left="6480" w:hanging="480"/>
      </w:pPr>
    </w:lvl>
  </w:abstractNum>
  <w:abstractNum w:abstractNumId="991">
    <w:nsid w:val="0000A991"/>
    <w:multiLevelType w:val="multilevel"/>
    <w:lvl w:ilvl="0">
      <w:numFmt w:val="bullet"/>
      <w:lvlText w:val="•"/>
      <w:lvlJc w:val="left"/>
      <w:pPr>
        <w:ind w:left="720" w:hanging="480"/>
      </w:pPr>
    </w:lvl>
    <w:lvl w:ilvl="1">
      <w:numFmt w:val="bullet"/>
      <w:lvlText w:val="–"/>
      <w:lvlJc w:val="left"/>
      <w:pPr>
        <w:ind w:left="1440" w:hanging="480"/>
      </w:pPr>
    </w:lvl>
    <w:lvl w:ilvl="2">
      <w:numFmt w:val="bullet"/>
      <w:lvlText w:val="•"/>
      <w:lvlJc w:val="left"/>
      <w:pPr>
        <w:ind w:left="2160" w:hanging="480"/>
      </w:pPr>
    </w:lvl>
    <w:lvl w:ilvl="3">
      <w:numFmt w:val="bullet"/>
      <w:lvlText w:val="–"/>
      <w:lvlJc w:val="left"/>
      <w:pPr>
        <w:ind w:left="2880" w:hanging="480"/>
      </w:pPr>
    </w:lvl>
    <w:lvl w:ilvl="4">
      <w:numFmt w:val="bullet"/>
      <w:lvlText w:val="•"/>
      <w:lvlJc w:val="left"/>
      <w:pPr>
        <w:ind w:left="3600" w:hanging="480"/>
      </w:pPr>
    </w:lvl>
    <w:lvl w:ilvl="5">
      <w:numFmt w:val="bullet"/>
      <w:lvlText w:val="–"/>
      <w:lvlJc w:val="left"/>
      <w:pPr>
        <w:ind w:left="4320" w:hanging="480"/>
      </w:pPr>
    </w:lvl>
    <w:lvl w:ilvl="6">
      <w:numFmt w:val="bullet"/>
      <w:lvlText w:val="•"/>
      <w:lvlJc w:val="left"/>
      <w:pPr>
        <w:ind w:left="5040" w:hanging="480"/>
      </w:pPr>
    </w:lvl>
    <w:lvl w:ilvl="7">
      <w:numFmt w:val="bullet"/>
      <w:lvlText w:val="–"/>
      <w:lvlJc w:val="left"/>
      <w:pPr>
        <w:ind w:left="5760" w:hanging="480"/>
      </w:pPr>
    </w:lvl>
    <w:lvl w:ilvl="8">
      <w:numFmt w:val="bullet"/>
      <w:lvlText w:val="•"/>
      <w:lvlJc w:val="left"/>
      <w:pPr>
        <w:ind w:left="6480" w:hanging="480"/>
      </w:pPr>
    </w:lvl>
  </w:abstractNum>
  <w:abstractNum w:abstractNumId="99414">
    <w:nsid w:val="00A99414"/>
    <w:multiLevelType w:val="multilevel"/>
    <w:lvl w:ilvl="0">
      <w:start w:val="4"/>
      <w:numFmt w:val="decimal"/>
      <w:lvlText w:val="%1."/>
      <w:lvlJc w:val="left"/>
      <w:pPr>
        <w:ind w:left="720" w:hanging="480"/>
      </w:pPr>
    </w:lvl>
    <w:lvl w:ilvl="1">
      <w:start w:val="4"/>
      <w:numFmt w:val="decimal"/>
      <w:lvlText w:val="%2."/>
      <w:lvlJc w:val="left"/>
      <w:pPr>
        <w:ind w:left="1440" w:hanging="480"/>
      </w:pPr>
    </w:lvl>
    <w:lvl w:ilvl="2">
      <w:start w:val="4"/>
      <w:numFmt w:val="decimal"/>
      <w:lvlText w:val="%3."/>
      <w:lvlJc w:val="left"/>
      <w:pPr>
        <w:ind w:left="2160" w:hanging="480"/>
      </w:pPr>
    </w:lvl>
    <w:lvl w:ilvl="3">
      <w:start w:val="4"/>
      <w:numFmt w:val="decimal"/>
      <w:lvlText w:val="%4."/>
      <w:lvlJc w:val="left"/>
      <w:pPr>
        <w:ind w:left="2880" w:hanging="480"/>
      </w:pPr>
    </w:lvl>
    <w:lvl w:ilvl="4">
      <w:start w:val="4"/>
      <w:numFmt w:val="decimal"/>
      <w:lvlText w:val="%5."/>
      <w:lvlJc w:val="left"/>
      <w:pPr>
        <w:ind w:left="3600" w:hanging="480"/>
      </w:pPr>
    </w:lvl>
    <w:lvl w:ilvl="5">
      <w:start w:val="4"/>
      <w:numFmt w:val="decimal"/>
      <w:lvlText w:val="%6."/>
      <w:lvlJc w:val="left"/>
      <w:pPr>
        <w:ind w:left="4320" w:hanging="480"/>
      </w:pPr>
    </w:lvl>
    <w:lvl w:ilvl="6">
      <w:start w:val="4"/>
      <w:numFmt w:val="decimal"/>
      <w:lvlText w:val="%7."/>
      <w:lvlJc w:val="left"/>
      <w:pPr>
        <w:ind w:left="5040" w:hanging="480"/>
      </w:pPr>
    </w:lvl>
    <w:lvl w:ilvl="7">
      <w:start w:val="4"/>
      <w:numFmt w:val="decimal"/>
      <w:lvlText w:val="%8."/>
      <w:lvlJc w:val="left"/>
      <w:pPr>
        <w:ind w:left="5760" w:hanging="480"/>
      </w:pPr>
    </w:lvl>
    <w:lvl w:ilvl="8">
      <w:start w:val="4"/>
      <w:numFmt w:val="decimal"/>
      <w:lvlText w:val="%9."/>
      <w:lvlJc w:val="left"/>
      <w:pPr>
        <w:ind w:left="6480" w:hanging="480"/>
      </w:pPr>
    </w:lvl>
  </w:abstractNum>
  <w:abstractNum w:abstractNumId="99415">
    <w:nsid w:val="00A99415"/>
    <w:multiLevelType w:val="multilevel"/>
    <w:lvl w:ilvl="0">
      <w:start w:val="5"/>
      <w:numFmt w:val="decimal"/>
      <w:lvlText w:val="%1."/>
      <w:lvlJc w:val="left"/>
      <w:pPr>
        <w:ind w:left="720" w:hanging="480"/>
      </w:pPr>
    </w:lvl>
    <w:lvl w:ilvl="1">
      <w:start w:val="5"/>
      <w:numFmt w:val="decimal"/>
      <w:lvlText w:val="%2."/>
      <w:lvlJc w:val="left"/>
      <w:pPr>
        <w:ind w:left="1440" w:hanging="480"/>
      </w:pPr>
    </w:lvl>
    <w:lvl w:ilvl="2">
      <w:start w:val="5"/>
      <w:numFmt w:val="decimal"/>
      <w:lvlText w:val="%3."/>
      <w:lvlJc w:val="left"/>
      <w:pPr>
        <w:ind w:left="2160" w:hanging="480"/>
      </w:pPr>
    </w:lvl>
    <w:lvl w:ilvl="3">
      <w:start w:val="5"/>
      <w:numFmt w:val="decimal"/>
      <w:lvlText w:val="%4."/>
      <w:lvlJc w:val="left"/>
      <w:pPr>
        <w:ind w:left="2880" w:hanging="480"/>
      </w:pPr>
    </w:lvl>
    <w:lvl w:ilvl="4">
      <w:start w:val="5"/>
      <w:numFmt w:val="decimal"/>
      <w:lvlText w:val="%5."/>
      <w:lvlJc w:val="left"/>
      <w:pPr>
        <w:ind w:left="3600" w:hanging="480"/>
      </w:pPr>
    </w:lvl>
    <w:lvl w:ilvl="5">
      <w:start w:val="5"/>
      <w:numFmt w:val="decimal"/>
      <w:lvlText w:val="%6."/>
      <w:lvlJc w:val="left"/>
      <w:pPr>
        <w:ind w:left="4320" w:hanging="480"/>
      </w:pPr>
    </w:lvl>
    <w:lvl w:ilvl="6">
      <w:start w:val="5"/>
      <w:numFmt w:val="decimal"/>
      <w:lvlText w:val="%7."/>
      <w:lvlJc w:val="left"/>
      <w:pPr>
        <w:ind w:left="5040" w:hanging="480"/>
      </w:pPr>
    </w:lvl>
    <w:lvl w:ilvl="7">
      <w:start w:val="5"/>
      <w:numFmt w:val="decimal"/>
      <w:lvlText w:val="%8."/>
      <w:lvlJc w:val="left"/>
      <w:pPr>
        <w:ind w:left="5760" w:hanging="480"/>
      </w:pPr>
    </w:lvl>
    <w:lvl w:ilvl="8">
      <w:start w:val="5"/>
      <w:numFmt w:val="decimal"/>
      <w:lvlText w:val="%9."/>
      <w:lvlJc w:val="left"/>
      <w:pPr>
        <w:ind w:left="6480" w:hanging="480"/>
      </w:pPr>
    </w:lvl>
  </w:abstractNum>
  <w:abstractNum w:abstractNumId="99416">
    <w:nsid w:val="00A99416"/>
    <w:multiLevelType w:val="multilevel"/>
    <w:lvl w:ilvl="0">
      <w:start w:val="6"/>
      <w:numFmt w:val="decimal"/>
      <w:lvlText w:val="%1."/>
      <w:lvlJc w:val="left"/>
      <w:pPr>
        <w:ind w:left="720" w:hanging="480"/>
      </w:pPr>
    </w:lvl>
    <w:lvl w:ilvl="1">
      <w:start w:val="6"/>
      <w:numFmt w:val="decimal"/>
      <w:lvlText w:val="%2."/>
      <w:lvlJc w:val="left"/>
      <w:pPr>
        <w:ind w:left="1440" w:hanging="480"/>
      </w:pPr>
    </w:lvl>
    <w:lvl w:ilvl="2">
      <w:start w:val="6"/>
      <w:numFmt w:val="decimal"/>
      <w:lvlText w:val="%3."/>
      <w:lvlJc w:val="left"/>
      <w:pPr>
        <w:ind w:left="2160" w:hanging="480"/>
      </w:pPr>
    </w:lvl>
    <w:lvl w:ilvl="3">
      <w:start w:val="6"/>
      <w:numFmt w:val="decimal"/>
      <w:lvlText w:val="%4."/>
      <w:lvlJc w:val="left"/>
      <w:pPr>
        <w:ind w:left="2880" w:hanging="480"/>
      </w:pPr>
    </w:lvl>
    <w:lvl w:ilvl="4">
      <w:start w:val="6"/>
      <w:numFmt w:val="decimal"/>
      <w:lvlText w:val="%5."/>
      <w:lvlJc w:val="left"/>
      <w:pPr>
        <w:ind w:left="3600" w:hanging="480"/>
      </w:pPr>
    </w:lvl>
    <w:lvl w:ilvl="5">
      <w:start w:val="6"/>
      <w:numFmt w:val="decimal"/>
      <w:lvlText w:val="%6."/>
      <w:lvlJc w:val="left"/>
      <w:pPr>
        <w:ind w:left="4320" w:hanging="480"/>
      </w:pPr>
    </w:lvl>
    <w:lvl w:ilvl="6">
      <w:start w:val="6"/>
      <w:numFmt w:val="decimal"/>
      <w:lvlText w:val="%7."/>
      <w:lvlJc w:val="left"/>
      <w:pPr>
        <w:ind w:left="5040" w:hanging="480"/>
      </w:pPr>
    </w:lvl>
    <w:lvl w:ilvl="7">
      <w:start w:val="6"/>
      <w:numFmt w:val="decimal"/>
      <w:lvlText w:val="%8."/>
      <w:lvlJc w:val="left"/>
      <w:pPr>
        <w:ind w:left="5760" w:hanging="480"/>
      </w:pPr>
    </w:lvl>
    <w:lvl w:ilvl="8">
      <w:start w:val="6"/>
      <w:numFmt w:val="decimal"/>
      <w:lvlText w:val="%9."/>
      <w:lvlJc w:val="left"/>
      <w:pPr>
        <w:ind w:left="6480" w:hanging="480"/>
      </w:pPr>
    </w:lvl>
  </w:abstractNum>
  <w:abstractNum w:abstractNumId="99417">
    <w:nsid w:val="00A99417"/>
    <w:multiLevelType w:val="multilevel"/>
    <w:lvl w:ilvl="0">
      <w:start w:val="7"/>
      <w:numFmt w:val="decimal"/>
      <w:lvlText w:val="%1."/>
      <w:lvlJc w:val="left"/>
      <w:pPr>
        <w:ind w:left="720" w:hanging="480"/>
      </w:pPr>
    </w:lvl>
    <w:lvl w:ilvl="1">
      <w:start w:val="7"/>
      <w:numFmt w:val="decimal"/>
      <w:lvlText w:val="%2."/>
      <w:lvlJc w:val="left"/>
      <w:pPr>
        <w:ind w:left="1440" w:hanging="480"/>
      </w:pPr>
    </w:lvl>
    <w:lvl w:ilvl="2">
      <w:start w:val="7"/>
      <w:numFmt w:val="decimal"/>
      <w:lvlText w:val="%3."/>
      <w:lvlJc w:val="left"/>
      <w:pPr>
        <w:ind w:left="2160" w:hanging="480"/>
      </w:pPr>
    </w:lvl>
    <w:lvl w:ilvl="3">
      <w:start w:val="7"/>
      <w:numFmt w:val="decimal"/>
      <w:lvlText w:val="%4."/>
      <w:lvlJc w:val="left"/>
      <w:pPr>
        <w:ind w:left="2880" w:hanging="480"/>
      </w:pPr>
    </w:lvl>
    <w:lvl w:ilvl="4">
      <w:start w:val="7"/>
      <w:numFmt w:val="decimal"/>
      <w:lvlText w:val="%5."/>
      <w:lvlJc w:val="left"/>
      <w:pPr>
        <w:ind w:left="3600" w:hanging="480"/>
      </w:pPr>
    </w:lvl>
    <w:lvl w:ilvl="5">
      <w:start w:val="7"/>
      <w:numFmt w:val="decimal"/>
      <w:lvlText w:val="%6."/>
      <w:lvlJc w:val="left"/>
      <w:pPr>
        <w:ind w:left="4320" w:hanging="480"/>
      </w:pPr>
    </w:lvl>
    <w:lvl w:ilvl="6">
      <w:start w:val="7"/>
      <w:numFmt w:val="decimal"/>
      <w:lvlText w:val="%7."/>
      <w:lvlJc w:val="left"/>
      <w:pPr>
        <w:ind w:left="5040" w:hanging="480"/>
      </w:pPr>
    </w:lvl>
    <w:lvl w:ilvl="7">
      <w:start w:val="7"/>
      <w:numFmt w:val="decimal"/>
      <w:lvlText w:val="%8."/>
      <w:lvlJc w:val="left"/>
      <w:pPr>
        <w:ind w:left="5760" w:hanging="480"/>
      </w:pPr>
    </w:lvl>
    <w:lvl w:ilvl="8">
      <w:start w:val="7"/>
      <w:numFmt w:val="decimal"/>
      <w:lvlText w:val="%9."/>
      <w:lvlJc w:val="left"/>
      <w:pPr>
        <w:ind w:left="6480" w:hanging="480"/>
      </w:pPr>
    </w:lvl>
  </w:abstractNum>
  <w:num w:numId="1000">
    <w:abstractNumId w:val="990"/>
  </w:num>
  <w:num w:numId="1001">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2">
    <w:abstractNumId w:val="99412"/>
    <w:lvlOverride w:ilvl="0">
      <w:startOverride w:val="2"/>
    </w:lvlOverride>
    <w:lvlOverride w:ilvl="1">
      <w:startOverride w:val="2"/>
    </w:lvlOverride>
    <w:lvlOverride w:ilvl="2">
      <w:startOverride w:val="2"/>
    </w:lvlOverride>
    <w:lvlOverride w:ilvl="3">
      <w:startOverride w:val="2"/>
    </w:lvlOverride>
    <w:lvlOverride w:ilvl="4">
      <w:startOverride w:val="2"/>
    </w:lvlOverride>
    <w:lvlOverride w:ilvl="5">
      <w:startOverride w:val="2"/>
    </w:lvlOverride>
    <w:lvlOverride w:ilvl="6">
      <w:startOverride w:val="2"/>
    </w:lvlOverride>
    <w:lvlOverride w:ilvl="7">
      <w:startOverride w:val="2"/>
    </w:lvlOverride>
    <w:lvlOverride w:ilvl="8">
      <w:startOverride w:val="2"/>
    </w:lvlOverride>
  </w:num>
  <w:num w:numId="1003">
    <w:abstractNumId w:val="99413"/>
    <w:lvlOverride w:ilvl="0">
      <w:startOverride w:val="3"/>
    </w:lvlOverride>
    <w:lvlOverride w:ilvl="1">
      <w:startOverride w:val="3"/>
    </w:lvlOverride>
    <w:lvlOverride w:ilvl="2">
      <w:startOverride w:val="3"/>
    </w:lvlOverride>
    <w:lvlOverride w:ilvl="3">
      <w:startOverride w:val="3"/>
    </w:lvlOverride>
    <w:lvlOverride w:ilvl="4">
      <w:startOverride w:val="3"/>
    </w:lvlOverride>
    <w:lvlOverride w:ilvl="5">
      <w:startOverride w:val="3"/>
    </w:lvlOverride>
    <w:lvlOverride w:ilvl="6">
      <w:startOverride w:val="3"/>
    </w:lvlOverride>
    <w:lvlOverride w:ilvl="7">
      <w:startOverride w:val="3"/>
    </w:lvlOverride>
    <w:lvlOverride w:ilvl="8">
      <w:startOverride w:val="3"/>
    </w:lvlOverride>
  </w:num>
  <w:num w:numId="1004">
    <w:abstractNumId w:val="991"/>
  </w:num>
  <w:num w:numId="1005">
    <w:abstractNumId w:val="99414"/>
    <w:lvlOverride w:ilvl="0">
      <w:startOverride w:val="4"/>
    </w:lvlOverride>
    <w:lvlOverride w:ilvl="1">
      <w:startOverride w:val="4"/>
    </w:lvlOverride>
    <w:lvlOverride w:ilvl="2">
      <w:startOverride w:val="4"/>
    </w:lvlOverride>
    <w:lvlOverride w:ilvl="3">
      <w:startOverride w:val="4"/>
    </w:lvlOverride>
    <w:lvlOverride w:ilvl="4">
      <w:startOverride w:val="4"/>
    </w:lvlOverride>
    <w:lvlOverride w:ilvl="5">
      <w:startOverride w:val="4"/>
    </w:lvlOverride>
    <w:lvlOverride w:ilvl="6">
      <w:startOverride w:val="4"/>
    </w:lvlOverride>
    <w:lvlOverride w:ilvl="7">
      <w:startOverride w:val="4"/>
    </w:lvlOverride>
    <w:lvlOverride w:ilvl="8">
      <w:startOverride w:val="4"/>
    </w:lvlOverride>
  </w:num>
  <w:num w:numId="1006">
    <w:abstractNumId w:val="991"/>
  </w:num>
  <w:num w:numId="1007">
    <w:abstractNumId w:val="99415"/>
    <w:lvlOverride w:ilvl="0">
      <w:startOverride w:val="5"/>
    </w:lvlOverride>
    <w:lvlOverride w:ilvl="1">
      <w:startOverride w:val="5"/>
    </w:lvlOverride>
    <w:lvlOverride w:ilvl="2">
      <w:startOverride w:val="5"/>
    </w:lvlOverride>
    <w:lvlOverride w:ilvl="3">
      <w:startOverride w:val="5"/>
    </w:lvlOverride>
    <w:lvlOverride w:ilvl="4">
      <w:startOverride w:val="5"/>
    </w:lvlOverride>
    <w:lvlOverride w:ilvl="5">
      <w:startOverride w:val="5"/>
    </w:lvlOverride>
    <w:lvlOverride w:ilvl="6">
      <w:startOverride w:val="5"/>
    </w:lvlOverride>
    <w:lvlOverride w:ilvl="7">
      <w:startOverride w:val="5"/>
    </w:lvlOverride>
    <w:lvlOverride w:ilvl="8">
      <w:startOverride w:val="5"/>
    </w:lvlOverride>
  </w:num>
  <w:num w:numId="1008">
    <w:abstractNumId w:val="99416"/>
    <w:lvlOverride w:ilvl="0">
      <w:startOverride w:val="6"/>
    </w:lvlOverride>
    <w:lvlOverride w:ilvl="1">
      <w:startOverride w:val="6"/>
    </w:lvlOverride>
    <w:lvlOverride w:ilvl="2">
      <w:startOverride w:val="6"/>
    </w:lvlOverride>
    <w:lvlOverride w:ilvl="3">
      <w:startOverride w:val="6"/>
    </w:lvlOverride>
    <w:lvlOverride w:ilvl="4">
      <w:startOverride w:val="6"/>
    </w:lvlOverride>
    <w:lvlOverride w:ilvl="5">
      <w:startOverride w:val="6"/>
    </w:lvlOverride>
    <w:lvlOverride w:ilvl="6">
      <w:startOverride w:val="6"/>
    </w:lvlOverride>
    <w:lvlOverride w:ilvl="7">
      <w:startOverride w:val="6"/>
    </w:lvlOverride>
    <w:lvlOverride w:ilvl="8">
      <w:startOverride w:val="6"/>
    </w:lvlOverride>
  </w:num>
  <w:num w:numId="1009">
    <w:abstractNumId w:val="99417"/>
    <w:lvlOverride w:ilvl="0">
      <w:startOverride w:val="7"/>
    </w:lvlOverride>
    <w:lvlOverride w:ilvl="1">
      <w:startOverride w:val="7"/>
    </w:lvlOverride>
    <w:lvlOverride w:ilvl="2">
      <w:startOverride w:val="7"/>
    </w:lvlOverride>
    <w:lvlOverride w:ilvl="3">
      <w:startOverride w:val="7"/>
    </w:lvlOverride>
    <w:lvlOverride w:ilvl="4">
      <w:startOverride w:val="7"/>
    </w:lvlOverride>
    <w:lvlOverride w:ilvl="5">
      <w:startOverride w:val="7"/>
    </w:lvlOverride>
    <w:lvlOverride w:ilvl="6">
      <w:startOverride w:val="7"/>
    </w:lvlOverride>
    <w:lvlOverride w:ilvl="7">
      <w:startOverride w:val="7"/>
    </w:lvlOverride>
    <w:lvlOverride w:ilvl="8">
      <w:startOverride w:val="7"/>
    </w:lvlOverride>
  </w:num>
  <w:num w:numId="1010">
    <w:abstractNumId w:val="991"/>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zoom w:percent="100"/>
  <w:embedSystemFonts/>
  <w:proofState w:grammar="clean" w:spelling="clean"/>
  <w:stylePaneFormatFilter w:val="0004"/>
  <w:doNotTrackMoves/>
  <w:defaultTabStop w:val="720"/>
  <w:drawingGridHorizontalSpacing w:val="360"/>
  <w:drawingGridVerticalSpacing w:val="360"/>
  <w:displayHorizontalDrawingGridEvery w:val="0"/>
  <w:displayVerticalDrawingGridEvery w:val="0"/>
  <w:characterSpacingControl w:val="doNotCompress"/>
  <w:savePreviewPicture/>
  <w:rsids>
  </w:rsids>
  <w:themeFontLang w:val="en-US"/>
  <w:clrSchemeMapping w:accent1="accent1" w:accent2="accent2" w:accent3="accent3" w:accent4="accent4" w:accent5="accent5" w:accent6="accent6" w:bg1="light1" w:bg2="light2" w:followedHyperlink="followedHyperlink" w:hyperlink="hyperlink" w:t1="dark1" w:t2="dark2"/>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cstheme="minorBidi" w:eastAsiaTheme="minorHAnsi" w:hAnsiTheme="minorHAnsi"/>
        <w:sz w:val="24"/>
        <w:szCs w:val="24"/>
        <w:lang w:bidi="ar-SA" w:eastAsia="en-US" w:val="en-US"/>
      </w:rPr>
    </w:rPrDefault>
    <w:pPrDefault>
      <w:pPr>
        <w:spacing w:after="200"/>
      </w:pPr>
    </w:pPrDefault>
  </w:docDefaults>
  <w:latentStyles w:count="276" w:defLockedState="0" w:defQFormat="0" w:defSemiHidden="0" w:defUIPriority="0" w:defUnhideWhenUsed="0"/>
  <w:style w:default="1" w:styleId="Normal" w:type="paragraph">
    <w:name w:val="Normal"/>
    <w:qFormat/>
  </w:style>
  <w:style w:styleId="BodyText" w:type="paragraph">
    <w:name w:val="Body Text"/>
    <w:basedOn w:val="Normal"/>
    <w:link w:val="BodyTextChar"/>
    <w:qFormat/>
    <w:pPr>
      <w:spacing w:after="180" w:before="180"/>
    </w:pPr>
  </w:style>
  <w:style w:customStyle="1" w:styleId="FirstParagraph" w:type="paragraph">
    <w:name w:val="First Paragraph"/>
    <w:basedOn w:val="BodyText"/>
    <w:next w:val="BodyText"/>
    <w:qFormat/>
  </w:style>
  <w:style w:customStyle="1" w:styleId="Compact" w:type="paragraph">
    <w:name w:val="Compact"/>
    <w:basedOn w:val="BodyText"/>
    <w:qFormat/>
    <w:pPr>
      <w:spacing w:after="36" w:before="36"/>
    </w:pPr>
  </w:style>
  <w:style w:styleId="Title" w:type="paragraph">
    <w:name w:val="Title"/>
    <w:basedOn w:val="Normal"/>
    <w:next w:val="BodyText"/>
    <w:qFormat/>
    <w:pPr>
      <w:keepNext/>
      <w:keepLines/>
      <w:spacing w:after="240" w:before="480"/>
      <w:jc w:val="center"/>
    </w:pPr>
    <w:rPr>
      <w:rFonts w:asciiTheme="majorHAnsi" w:cstheme="majorBidi" w:eastAsiaTheme="majorEastAsia" w:hAnsiTheme="majorHAnsi"/>
      <w:b/>
      <w:bCs/>
      <w:color w:themeColor="accent1" w:themeShade="B5" w:val="345A8A"/>
      <w:sz w:val="36"/>
      <w:szCs w:val="36"/>
    </w:rPr>
  </w:style>
  <w:style w:styleId="Subtitle" w:type="paragraph">
    <w:name w:val="Subtitle"/>
    <w:basedOn w:val="Title"/>
    <w:next w:val="BodyText"/>
    <w:qFormat/>
    <w:pPr>
      <w:keepNext/>
      <w:keepLines/>
      <w:spacing w:after="240" w:before="240"/>
      <w:jc w:val="center"/>
    </w:pPr>
    <w:rPr>
      <w:sz w:val="30"/>
      <w:szCs w:val="30"/>
    </w:rPr>
  </w:style>
  <w:style w:customStyle="1" w:styleId="Author" w:type="paragraph">
    <w:name w:val="Author"/>
    <w:next w:val="BodyText"/>
    <w:qFormat/>
    <w:pPr>
      <w:keepNext/>
      <w:keepLines/>
      <w:jc w:val="center"/>
    </w:pPr>
  </w:style>
  <w:style w:styleId="Date" w:type="paragraph">
    <w:name w:val="Date"/>
    <w:next w:val="BodyText"/>
    <w:qFormat/>
    <w:pPr>
      <w:keepNext/>
      <w:keepLines/>
      <w:jc w:val="center"/>
    </w:pPr>
  </w:style>
  <w:style w:customStyle="1" w:styleId="AbstractTitle" w:type="paragraph">
    <w:name w:val="Abstract Title"/>
    <w:basedOn w:val="Normal"/>
    <w:next w:val="Abstract"/>
    <w:qFormat/>
    <w:pPr>
      <w:keepNext/>
      <w:keepLines/>
      <w:spacing w:after="0" w:before="300"/>
      <w:jc w:val="center"/>
    </w:pPr>
    <w:rPr>
      <w:b/>
      <w:color w:val="345A8A"/>
      <w:sz w:val="20"/>
      <w:szCs w:val="20"/>
    </w:rPr>
  </w:style>
  <w:style w:customStyle="1" w:styleId="Abstract" w:type="paragraph">
    <w:name w:val="Abstract"/>
    <w:basedOn w:val="Normal"/>
    <w:next w:val="BodyText"/>
    <w:qFormat/>
    <w:pPr>
      <w:keepNext/>
      <w:keepLines/>
      <w:spacing w:after="300" w:before="100"/>
    </w:pPr>
    <w:rPr>
      <w:sz w:val="20"/>
      <w:szCs w:val="20"/>
    </w:rPr>
  </w:style>
  <w:style w:styleId="Bibliography" w:type="paragraph">
    <w:name w:val="Bibliography"/>
    <w:basedOn w:val="Normal"/>
    <w:next w:val="Bibliography"/>
    <w:qFormat/>
    <w:pPr/>
    <w:rPr/>
  </w:style>
  <w:style w:styleId="Heading1" w:type="paragraph">
    <w:name w:val="Heading 1"/>
    <w:basedOn w:val="Normal"/>
    <w:next w:val="BodyText"/>
    <w:uiPriority w:val="9"/>
    <w:qFormat/>
    <w:pPr>
      <w:keepNext/>
      <w:keepLines/>
      <w:spacing w:after="0" w:before="480"/>
      <w:outlineLvl w:val="0"/>
    </w:pPr>
    <w:rPr>
      <w:rFonts w:asciiTheme="majorHAnsi" w:cstheme="majorBidi" w:eastAsiaTheme="majorEastAsia" w:hAnsiTheme="majorHAnsi"/>
      <w:b/>
      <w:bCs/>
      <w:color w:themeColor="accent1" w:val="4F81BD"/>
      <w:sz w:val="32"/>
      <w:szCs w:val="32"/>
    </w:rPr>
  </w:style>
  <w:style w:styleId="Heading2" w:type="paragraph">
    <w:name w:val="Heading 2"/>
    <w:basedOn w:val="Normal"/>
    <w:next w:val="BodyText"/>
    <w:uiPriority w:val="9"/>
    <w:unhideWhenUsed/>
    <w:qFormat/>
    <w:pPr>
      <w:keepNext/>
      <w:keepLines/>
      <w:spacing w:after="0" w:before="200"/>
      <w:outlineLvl w:val="1"/>
    </w:pPr>
    <w:rPr>
      <w:rFonts w:asciiTheme="majorHAnsi" w:cstheme="majorBidi" w:eastAsiaTheme="majorEastAsia" w:hAnsiTheme="majorHAnsi"/>
      <w:b/>
      <w:bCs/>
      <w:color w:themeColor="accent1" w:val="4F81BD"/>
      <w:sz w:val="28"/>
      <w:szCs w:val="28"/>
    </w:rPr>
  </w:style>
  <w:style w:styleId="Heading3" w:type="paragraph">
    <w:name w:val="Heading 3"/>
    <w:basedOn w:val="Normal"/>
    <w:next w:val="BodyText"/>
    <w:uiPriority w:val="9"/>
    <w:unhideWhenUsed/>
    <w:qFormat/>
    <w:pPr>
      <w:keepNext/>
      <w:keepLines/>
      <w:spacing w:after="0" w:before="200"/>
      <w:outlineLvl w:val="2"/>
    </w:pPr>
    <w:rPr>
      <w:rFonts w:asciiTheme="majorHAnsi" w:cstheme="majorBidi" w:eastAsiaTheme="majorEastAsia" w:hAnsiTheme="majorHAnsi"/>
      <w:b/>
      <w:bCs/>
      <w:color w:themeColor="accent1" w:val="4F81BD"/>
      <w:sz w:val="24"/>
      <w:szCs w:val="24"/>
    </w:rPr>
  </w:style>
  <w:style w:styleId="Heading4" w:type="paragraph">
    <w:name w:val="Heading 4"/>
    <w:basedOn w:val="Normal"/>
    <w:next w:val="BodyText"/>
    <w:uiPriority w:val="9"/>
    <w:unhideWhenUsed/>
    <w:qFormat/>
    <w:pPr>
      <w:keepNext/>
      <w:keepLines/>
      <w:spacing w:after="0" w:before="200"/>
      <w:outlineLvl w:val="3"/>
    </w:pPr>
    <w:rPr>
      <w:rFonts w:asciiTheme="majorHAnsi" w:cstheme="majorBidi" w:eastAsiaTheme="majorEastAsia" w:hAnsiTheme="majorHAnsi"/>
      <w:bCs/>
      <w:i/>
      <w:color w:themeColor="accent1" w:val="4F81BD"/>
      <w:sz w:val="24"/>
      <w:szCs w:val="24"/>
    </w:rPr>
  </w:style>
  <w:style w:styleId="Heading5" w:type="paragraph">
    <w:name w:val="Heading 5"/>
    <w:basedOn w:val="Normal"/>
    <w:next w:val="BodyText"/>
    <w:uiPriority w:val="9"/>
    <w:unhideWhenUsed/>
    <w:qFormat/>
    <w:pPr>
      <w:keepNext/>
      <w:keepLines/>
      <w:spacing w:after="0" w:before="200"/>
      <w:outlineLvl w:val="4"/>
    </w:pPr>
    <w:rPr>
      <w:rFonts w:asciiTheme="majorHAnsi" w:cstheme="majorBidi" w:eastAsiaTheme="majorEastAsia" w:hAnsiTheme="majorHAnsi"/>
      <w:iCs/>
      <w:color w:themeColor="accent1" w:val="4F81BD"/>
      <w:sz w:val="24"/>
      <w:szCs w:val="24"/>
    </w:rPr>
  </w:style>
  <w:style w:styleId="Heading6" w:type="paragraph">
    <w:name w:val="Heading 6"/>
    <w:basedOn w:val="Normal"/>
    <w:next w:val="BodyText"/>
    <w:uiPriority w:val="9"/>
    <w:unhideWhenUsed/>
    <w:qFormat/>
    <w:pPr>
      <w:keepNext/>
      <w:keepLines/>
      <w:spacing w:after="0" w:before="200"/>
      <w:outlineLvl w:val="5"/>
    </w:pPr>
    <w:rPr>
      <w:rFonts w:asciiTheme="majorHAnsi" w:cstheme="majorBidi" w:eastAsiaTheme="majorEastAsia" w:hAnsiTheme="majorHAnsi"/>
      <w:color w:themeColor="accent1" w:val="4F81BD"/>
      <w:sz w:val="24"/>
      <w:szCs w:val="24"/>
    </w:rPr>
  </w:style>
  <w:style w:styleId="Heading7" w:type="paragraph">
    <w:name w:val="Heading 7"/>
    <w:basedOn w:val="Normal"/>
    <w:next w:val="BodyText"/>
    <w:uiPriority w:val="9"/>
    <w:unhideWhenUsed/>
    <w:qFormat/>
    <w:pPr>
      <w:keepNext/>
      <w:keepLines/>
      <w:spacing w:after="0" w:before="200"/>
      <w:outlineLvl w:val="6"/>
    </w:pPr>
    <w:rPr>
      <w:rFonts w:asciiTheme="majorHAnsi" w:cstheme="majorBidi" w:eastAsiaTheme="majorEastAsia" w:hAnsiTheme="majorHAnsi"/>
      <w:color w:themeColor="accent1" w:val="4F81BD"/>
      <w:sz w:val="24"/>
      <w:szCs w:val="24"/>
    </w:rPr>
  </w:style>
  <w:style w:styleId="Heading8" w:type="paragraph">
    <w:name w:val="Heading 8"/>
    <w:basedOn w:val="Normal"/>
    <w:next w:val="BodyText"/>
    <w:uiPriority w:val="9"/>
    <w:unhideWhenUsed/>
    <w:qFormat/>
    <w:pPr>
      <w:keepNext/>
      <w:keepLines/>
      <w:spacing w:after="0" w:before="200"/>
      <w:outlineLvl w:val="7"/>
    </w:pPr>
    <w:rPr>
      <w:rFonts w:asciiTheme="majorHAnsi" w:cstheme="majorBidi" w:eastAsiaTheme="majorEastAsia" w:hAnsiTheme="majorHAnsi"/>
      <w:color w:themeColor="accent1" w:val="4F81BD"/>
      <w:sz w:val="24"/>
      <w:szCs w:val="24"/>
    </w:rPr>
  </w:style>
  <w:style w:styleId="Heading9" w:type="paragraph">
    <w:name w:val="Heading 9"/>
    <w:basedOn w:val="Normal"/>
    <w:next w:val="BodyText"/>
    <w:uiPriority w:val="9"/>
    <w:unhideWhenUsed/>
    <w:qFormat/>
    <w:pPr>
      <w:keepNext/>
      <w:keepLines/>
      <w:spacing w:after="0" w:before="200"/>
      <w:outlineLvl w:val="8"/>
    </w:pPr>
    <w:rPr>
      <w:rFonts w:asciiTheme="majorHAnsi" w:cstheme="majorBidi" w:eastAsiaTheme="majorEastAsia" w:hAnsiTheme="majorHAnsi"/>
      <w:color w:themeColor="accent1" w:val="4F81BD"/>
      <w:sz w:val="24"/>
      <w:szCs w:val="24"/>
    </w:rPr>
  </w:style>
  <w:style w:styleId="BlockText" w:type="paragraph">
    <w:name w:val="Block Text"/>
    <w:basedOn w:val="BodyText"/>
    <w:next w:val="BodyText"/>
    <w:uiPriority w:val="9"/>
    <w:unhideWhenUsed/>
    <w:qFormat/>
    <w:pPr>
      <w:spacing w:after="100" w:before="100"/>
      <w:ind w:firstLine="0" w:left="480" w:right="480"/>
    </w:pPr>
  </w:style>
  <w:style w:styleId="FootnoteText" w:type="paragraph">
    <w:name w:val="Footnote Text"/>
    <w:basedOn w:val="Normal"/>
    <w:next w:val="FootnoteText"/>
    <w:uiPriority w:val="9"/>
    <w:unhideWhenUsed/>
    <w:qFormat/>
  </w:style>
  <w:style w:styleId="FootnoteBlockText" w:type="paragraph">
    <w:name w:val="Footnote Block Text"/>
    <w:basedOn w:val="Footnote Text"/>
    <w:next w:val="Footnote Text"/>
    <w:uiPriority w:val="9"/>
    <w:unhideWhenUsed/>
    <w:qFormat/>
    <w:pPr>
      <w:spacing w:after="100" w:before="100"/>
      <w:ind w:firstLine="0" w:left="480" w:right="480"/>
    </w:pPr>
  </w:style>
  <w:style w:default="1" w:styleId="DefaultParagraphFont" w:type="character">
    <w:name w:val="Default Paragraph Font"/>
    <w:semiHidden/>
    <w:unhideWhenUsed/>
  </w:style>
  <w:style w:default="1" w:styleId="Table" w:type="table">
    <w:name w:val="Table"/>
    <w:basedOn w:val="TableNormal"/>
    <w:semiHidden/>
    <w:unhideWhenUsed/>
    <w:qFormat/>
    <w:tblPr>
      <w:tblInd w:type="dxa" w:w="0"/>
      <w:tblCellMar>
        <w:top w:type="dxa" w:w="0"/>
        <w:left w:type="dxa" w:w="108"/>
        <w:bottom w:type="dxa" w:w="0"/>
        <w:right w:type="dxa" w:w="108"/>
      </w:tblCellMar>
    </w:tblPr>
    <w:tblStylePr w:type="firstRow">
      <w:tblPr>
        <w:jc w:val="left"/>
        <w:tblInd w:type="dxa" w:w="0"/>
      </w:tblPr>
      <w:trPr>
        <w:jc w:val="left"/>
      </w:trPr>
      <w:tcPr>
        <w:tcBorders>
          <w:bottom w:val="single"/>
        </w:tcBorders>
        <w:vAlign w:val="bottom"/>
      </w:tcPr>
    </w:tblStylePr>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Caption" w:type="paragraph">
    <w:name w:val="Caption"/>
    <w:basedOn w:val="Normal"/>
    <w:link w:val="BodyTextChar"/>
    <w:pPr>
      <w:spacing w:after="120" w:before="0"/>
    </w:pPr>
    <w:rPr>
      <w:i/>
    </w:rPr>
  </w:style>
  <w:style w:customStyle="1" w:styleId="TableCaption" w:type="paragraph">
    <w:name w:val="Table Caption"/>
    <w:basedOn w:val="Caption"/>
    <w:pPr>
      <w:keepNext/>
    </w:pPr>
  </w:style>
  <w:style w:customStyle="1" w:styleId="ImageCaption" w:type="paragraph">
    <w:name w:val="Image Caption"/>
    <w:basedOn w:val="Caption"/>
  </w:style>
  <w:style w:customStyle="1" w:styleId="Figure" w:type="paragraph">
    <w:name w:val="Figure"/>
    <w:basedOn w:val="Normal"/>
  </w:style>
  <w:style w:customStyle="1" w:styleId="CaptionedFigure" w:type="paragraph">
    <w:name w:val="Captioned Figure"/>
    <w:basedOn w:val="Figure"/>
    <w:pPr>
      <w:keepNext/>
    </w:pPr>
  </w:style>
  <w:style w:customStyle="1" w:styleId="BodyTextChar" w:type="character">
    <w:name w:val="Body Text Char"/>
    <w:basedOn w:val="DefaultParagraphFont"/>
    <w:link w:val="BodyText"/>
  </w:style>
  <w:style w:customStyle="1" w:styleId="VerbatimChar" w:type="character">
    <w:name w:val="Verbatim Char"/>
    <w:basedOn w:val="BodyTextChar"/>
    <w:rPr>
      <w:rFonts w:ascii="Consolas" w:hAnsi="Consolas"/>
      <w:sz w:val="22"/>
    </w:rPr>
  </w:style>
  <w:style w:customStyle="1" w:styleId="SectionNumber" w:type="character">
    <w:name w:val="Section Number"/>
    <w:basedOn w:val="BodyTextChar"/>
  </w:style>
  <w:style w:styleId="FootnoteReference" w:type="character">
    <w:name w:val="Footnote Reference"/>
    <w:basedOn w:val="BodyTextChar"/>
    <w:rPr>
      <w:vertAlign w:val="superscript"/>
    </w:rPr>
  </w:style>
  <w:style w:styleId="Hyperlink" w:type="character">
    <w:name w:val="Hyperlink"/>
    <w:basedOn w:val="BodyTextChar"/>
    <w:rPr>
      <w:color w:themeColor="accent1" w:val="4F81BD"/>
    </w:rPr>
  </w:style>
  <w:style w:styleId="TOCHeading" w:type="paragraph">
    <w:name w:val="TOC Heading"/>
    <w:basedOn w:val="Heading1"/>
    <w:next w:val="BodyText"/>
    <w:uiPriority w:val="39"/>
    <w:unhideWhenUsed/>
    <w:qFormat/>
    <w:pPr>
      <w:spacing w:before="240" w:line="259" w:lineRule="auto"/>
      <w:outlineLvl w:val="9"/>
    </w:pPr>
    <w:rPr>
      <w:rFonts w:asciiTheme="majorHAnsi" w:cstheme="majorBidi" w:eastAsiaTheme="majorEastAsia" w:hAnsiTheme="majorHAnsi"/>
      <w:b w:val="0"/>
      <w:bCs w:val="0"/>
      <w:color w:themeColor="accent1" w:themeShade="BF" w:val="365F91"/>
    </w:rPr>
  </w:style>
  <w:style w:type="paragraph" w:customStyle="1" w:styleId="SourceCode">
    <w:name w:val="Source Code"/>
    <w:basedOn w:val="Normal"/>
    <w:link w:val="VerbatimChar"/>
    <w:pPr>
      <w:wordWrap w:val="off"/>
    </w:pPr>
  </w:style>
  <w:style w:type="character" w:customStyle="1" w:styleId="KeywordTok">
    <w:name w:val="KeywordTok"/>
    <w:basedOn w:val="VerbatimChar"/>
    <w:rPr>
      <w:b/>
      <w:color w:val="007020"/>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b/>
      <w:color w:val="008000"/>
    </w:rPr>
  </w:style>
  <w:style w:type="character" w:customStyle="1" w:styleId="CommentTok">
    <w:name w:val="CommentTok"/>
    <w:basedOn w:val="VerbatimChar"/>
    <w:rPr>
      <w:i/>
      <w:color w:val="60a0b0"/>
    </w:rPr>
  </w:style>
  <w:style w:type="character" w:customStyle="1" w:styleId="DocumentationTok">
    <w:name w:val="DocumentationTok"/>
    <w:basedOn w:val="VerbatimChar"/>
    <w:rPr>
      <w:i/>
      <w:color w:val="ba2121"/>
    </w:rPr>
  </w:style>
  <w:style w:type="character" w:customStyle="1" w:styleId="AnnotationTok">
    <w:name w:val="AnnotationTok"/>
    <w:basedOn w:val="VerbatimChar"/>
    <w:rPr>
      <w:b/>
      <w:i/>
      <w:color w:val="60a0b0"/>
    </w:rPr>
  </w:style>
  <w:style w:type="character" w:customStyle="1" w:styleId="CommentVarTok">
    <w:name w:val="CommentVarTok"/>
    <w:basedOn w:val="VerbatimChar"/>
    <w:rPr>
      <w:b/>
      <w:i/>
      <w:color w:val="60a0b0"/>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b/>
      <w:color w:val="007020"/>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b/>
      <w:i/>
      <w:color w:val="60a0b0"/>
    </w:rPr>
  </w:style>
  <w:style w:type="character" w:customStyle="1" w:styleId="WarningTok">
    <w:name w:val="WarningTok"/>
    <w:basedOn w:val="VerbatimChar"/>
    <w:rPr>
      <w:b/>
      <w:i/>
      <w:color w:val="60a0b0"/>
    </w:rPr>
  </w:style>
  <w:style w:type="character" w:customStyle="1" w:styleId="AlertTok">
    <w:name w:val="AlertTok"/>
    <w:basedOn w:val="VerbatimChar"/>
    <w:rPr>
      <w:b/>
      <w:color w:val="ff0000"/>
    </w:rPr>
  </w:style>
  <w:style w:type="character" w:customStyle="1" w:styleId="ErrorTok">
    <w:name w:val="ErrorTok"/>
    <w:basedOn w:val="VerbatimChar"/>
    <w:rPr>
      <w:b/>
      <w:color w:val="ff0000"/>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s>
</file>

<file path=word/_rels/footnotes.xml.rels><?xml version="1.0" encoding="UTF-8"?><Relationships xmlns="http://schemas.openxmlformats.org/package/2006/relationships" />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dcterms:created xsi:type="dcterms:W3CDTF">2024-05-06T16:04:26Z</dcterms:created>
  <dcterms:modified xsi:type="dcterms:W3CDTF">2024-05-06T16:04:26Z</dcterms:modified>
</cp:coreProperties>
</file>

<file path=docProps/custom.xml><?xml version="1.0" encoding="utf-8"?>
<Properties xmlns="http://schemas.openxmlformats.org/officeDocument/2006/custom-properties" xmlns:vt="http://schemas.openxmlformats.org/officeDocument/2006/docPropsVTypes"/>
</file>