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consult-analyze"/>
    <w:p>
      <w:pPr>
        <w:pStyle w:val="Heading3"/>
      </w:pPr>
      <w:r>
        <w:t xml:space="preserve">Consult &amp; Analyze</w:t>
      </w:r>
    </w:p>
    <w:p>
      <w:pPr>
        <w:pStyle w:val="FirstParagraph"/>
      </w:pPr>
      <w:r>
        <w:rPr>
          <w:b/>
          <w:bCs/>
        </w:rPr>
        <w:t xml:space="preserve">Strategic Objective:</w:t>
      </w:r>
      <w:r>
        <w:t xml:space="preserve"> </w:t>
      </w:r>
      <w:r>
        <w:t xml:space="preserve">Enhance operational efficiencies and system optimizations through detailed analysis and consultation, tailored to specific partner needs.</w:t>
      </w:r>
    </w:p>
    <w:p>
      <w:pPr>
        <w:pStyle w:val="BodyText"/>
      </w:pPr>
      <w:r>
        <w:rPr>
          <w:b/>
          <w:bCs/>
        </w:rPr>
        <w:t xml:space="preserve">TBX-led Consultation Engagement:</w:t>
      </w:r>
      <w:r>
        <w:t xml:space="preserve"> </w:t>
      </w:r>
      <w:r>
        <w:t xml:space="preserve">To analyze and identify areas for improvement within the partner’s operations, followed by a tailored SOW.</w:t>
      </w:r>
    </w:p>
    <w:p>
      <w:pPr>
        <w:pStyle w:val="BodyText"/>
      </w:pPr>
      <w:r>
        <w:rPr>
          <w:b/>
          <w:bCs/>
        </w:rPr>
        <w:t xml:space="preserve">Key Outcomes by Phase:</w:t>
      </w:r>
      <w:r>
        <w:t xml:space="preserve"> </w:t>
      </w:r>
      <w:r>
        <w:t xml:space="preserve">- Assess and optimize OEM Rationalization to streamline vendor relationships.</w:t>
      </w:r>
      <w:r>
        <w:t xml:space="preserve"> </w:t>
      </w:r>
      <w:r>
        <w:t xml:space="preserve">- Automate processes to reduce manual effort and increase efficiency.</w:t>
      </w:r>
      <w:r>
        <w:t xml:space="preserve"> </w:t>
      </w:r>
      <w:r>
        <w:t xml:space="preserve">- Eliminate redundancy across teams to enhance productivity.</w:t>
      </w:r>
      <w:r>
        <w:t xml:space="preserve"> </w:t>
      </w:r>
      <w:r>
        <w:t xml:space="preserve">- Optimize hard costs savings and reduce capital constraints related to hardware/software shipping.</w:t>
      </w:r>
      <w:r>
        <w:t xml:space="preserve"> </w:t>
      </w:r>
      <w:r>
        <w:t xml:space="preserve">- Reduce OEM complexity from subscription-based Go-To-Market strategies.</w:t>
      </w:r>
      <w:r>
        <w:t xml:space="preserve"> </w:t>
      </w:r>
      <w:r>
        <w:t xml:space="preserve">- Understand and improve staging/inventory process requirements.</w:t>
      </w:r>
    </w:p>
    <w:p>
      <w:pPr>
        <w:pStyle w:val="BodyText"/>
      </w:pPr>
      <w:r>
        <w:rPr>
          <w:b/>
          <w:bCs/>
        </w:rPr>
        <w:t xml:space="preserve">Timeline:</w:t>
      </w:r>
      <w:r>
        <w:t xml:space="preserve"> </w:t>
      </w:r>
      <w:r>
        <w:t xml:space="preserve">Detailed analysis and initial consultation results within 2 months from engagement start.</w:t>
      </w:r>
    </w:p>
    <w:p>
      <w:pPr>
        <w:pStyle w:val="BodyText"/>
      </w:pPr>
      <w:r>
        <w:rPr>
          <w:b/>
          <w:bCs/>
        </w:rPr>
        <w:t xml:space="preserve">Risk Management:</w:t>
      </w:r>
      <w:r>
        <w:t xml:space="preserve"> </w:t>
      </w:r>
      <w:r>
        <w:t xml:space="preserve">Strategies include contingency planning for OEM negotiations and real-time adjustments to automation scripts based on ongoing results.</w:t>
      </w:r>
    </w:p>
    <w:bookmarkEnd w:id="20"/>
    <w:bookmarkStart w:id="21" w:name="automate-execute"/>
    <w:p>
      <w:pPr>
        <w:pStyle w:val="Heading3"/>
      </w:pPr>
      <w:r>
        <w:t xml:space="preserve">Automate &amp; Execute</w:t>
      </w:r>
    </w:p>
    <w:p>
      <w:pPr>
        <w:pStyle w:val="FirstParagraph"/>
      </w:pPr>
      <w:r>
        <w:rPr>
          <w:b/>
          <w:bCs/>
        </w:rPr>
        <w:t xml:space="preserve">Strategic Objective:</w:t>
      </w:r>
      <w:r>
        <w:t xml:space="preserve"> </w:t>
      </w:r>
      <w:r>
        <w:t xml:space="preserve">Deploy advanced automation solutions and enable a single-vendor approach for all Resale CPE, significantly reducing internal operational constraints.</w:t>
      </w:r>
    </w:p>
    <w:p>
      <w:pPr>
        <w:pStyle w:val="BodyText"/>
      </w:pPr>
      <w:r>
        <w:rPr>
          <w:b/>
          <w:bCs/>
        </w:rPr>
        <w:t xml:space="preserve">Deployment of Automation &amp; TBX Services:</w:t>
      </w:r>
      <w:r>
        <w:t xml:space="preserve"> </w:t>
      </w:r>
      <w:r>
        <w:t xml:space="preserve">Custom solutions for a single-vendor approach, dependent on outcomes from the</w:t>
      </w:r>
      <w:r>
        <w:t xml:space="preserve"> </w:t>
      </w:r>
      <w:r>
        <w:t xml:space="preserve">‘</w:t>
      </w:r>
      <w:r>
        <w:t xml:space="preserve">Consult &amp; Analyze</w:t>
      </w:r>
      <w:r>
        <w:t xml:space="preserve">’</w:t>
      </w:r>
      <w:r>
        <w:t xml:space="preserve"> </w:t>
      </w:r>
      <w:r>
        <w:t xml:space="preserve">phase.</w:t>
      </w:r>
    </w:p>
    <w:p>
      <w:pPr>
        <w:pStyle w:val="BodyText"/>
      </w:pPr>
      <w:r>
        <w:rPr>
          <w:b/>
          <w:bCs/>
        </w:rPr>
        <w:t xml:space="preserve">Key Outcomes by Phase:</w:t>
      </w:r>
      <w:r>
        <w:t xml:space="preserve"> </w:t>
      </w:r>
      <w:r>
        <w:t xml:space="preserve">- Full OEM Rationalization to minimize supplier complexity.</w:t>
      </w:r>
      <w:r>
        <w:t xml:space="preserve"> </w:t>
      </w:r>
      <w:r>
        <w:t xml:space="preserve">- TBX-managed inventory and staging program to ensure efficiency and accuracy.</w:t>
      </w:r>
      <w:r>
        <w:t xml:space="preserve"> </w:t>
      </w:r>
      <w:r>
        <w:t xml:space="preserve">- Reduction in Partner Capital in Progress (CIP) with a robust Supply Chain program.</w:t>
      </w:r>
      <w:r>
        <w:t xml:space="preserve"> </w:t>
      </w:r>
      <w:r>
        <w:t xml:space="preserve">- Establish an Innovation Funds program for future services, including:</w:t>
      </w:r>
      <w:r>
        <w:t xml:space="preserve"> </w:t>
      </w:r>
      <w:r>
        <w:t xml:space="preserve">- Advanced Technology Center (lab)</w:t>
      </w:r>
      <w:r>
        <w:t xml:space="preserve"> </w:t>
      </w:r>
      <w:r>
        <w:t xml:space="preserve">- Field Services</w:t>
      </w:r>
      <w:r>
        <w:t xml:space="preserve"> </w:t>
      </w:r>
      <w:r>
        <w:t xml:space="preserve">- Consulting Services</w:t>
      </w:r>
      <w:r>
        <w:t xml:space="preserve"> </w:t>
      </w:r>
      <w:r>
        <w:t xml:space="preserve">- Strategic Resourcing</w:t>
      </w:r>
    </w:p>
    <w:p>
      <w:pPr>
        <w:pStyle w:val="BodyText"/>
      </w:pPr>
      <w:r>
        <w:rPr>
          <w:b/>
          <w:bCs/>
        </w:rPr>
        <w:t xml:space="preserve">Timeline:</w:t>
      </w:r>
      <w:r>
        <w:t xml:space="preserve"> </w:t>
      </w:r>
      <w:r>
        <w:t xml:space="preserve">Full deployment within 6 months post-consultation phase.</w:t>
      </w:r>
    </w:p>
    <w:p>
      <w:pPr>
        <w:pStyle w:val="BodyText"/>
      </w:pPr>
      <w:r>
        <w:rPr>
          <w:b/>
          <w:bCs/>
        </w:rPr>
        <w:t xml:space="preserve">Risk Management:</w:t>
      </w:r>
      <w:r>
        <w:t xml:space="preserve"> </w:t>
      </w:r>
      <w:r>
        <w:t xml:space="preserve">Implement phased roll-outs to mitigate disruption and provide ongoing evaluation against set benchmarks.</w:t>
      </w:r>
    </w:p>
    <w:bookmarkEnd w:id="21"/>
    <w:bookmarkStart w:id="22" w:name="run-operations"/>
    <w:p>
      <w:pPr>
        <w:pStyle w:val="Heading3"/>
      </w:pPr>
      <w:r>
        <w:t xml:space="preserve">Run Operations</w:t>
      </w:r>
    </w:p>
    <w:p>
      <w:pPr>
        <w:pStyle w:val="FirstParagraph"/>
      </w:pPr>
      <w:r>
        <w:rPr>
          <w:b/>
          <w:bCs/>
        </w:rPr>
        <w:t xml:space="preserve">Strategic Objective:</w:t>
      </w:r>
      <w:r>
        <w:t xml:space="preserve"> </w:t>
      </w:r>
      <w:r>
        <w:t xml:space="preserve">Provide end-to-end visibility and control across the entire Resale CPE lifecycle, ensuring seamless operations and continuous improvement.</w:t>
      </w:r>
    </w:p>
    <w:p>
      <w:pPr>
        <w:pStyle w:val="BodyText"/>
      </w:pPr>
      <w:r>
        <w:rPr>
          <w:b/>
          <w:bCs/>
        </w:rPr>
        <w:t xml:space="preserve">Key Outcomes by Phase:</w:t>
      </w:r>
      <w:r>
        <w:t xml:space="preserve"> </w:t>
      </w:r>
      <w:r>
        <w:t xml:space="preserve">- Day-to-day operations management of Partner Resale.</w:t>
      </w:r>
      <w:r>
        <w:t xml:space="preserve"> </w:t>
      </w:r>
      <w:r>
        <w:t xml:space="preserve">- Regular process improvement of CPE to increase lifecycle efficiency.</w:t>
      </w:r>
      <w:r>
        <w:t xml:space="preserve"> </w:t>
      </w:r>
      <w:r>
        <w:t xml:space="preserve">- Continuous automation to maintain and enhance operational responsiveness.</w:t>
      </w:r>
    </w:p>
    <w:p>
      <w:pPr>
        <w:pStyle w:val="BodyText"/>
      </w:pPr>
      <w:r>
        <w:rPr>
          <w:b/>
          <w:bCs/>
        </w:rPr>
        <w:t xml:space="preserve">Timeline:</w:t>
      </w:r>
      <w:r>
        <w:t xml:space="preserve"> </w:t>
      </w:r>
      <w:r>
        <w:t xml:space="preserve">Continuous with quarterly reviews.</w:t>
      </w:r>
    </w:p>
    <w:p>
      <w:pPr>
        <w:pStyle w:val="BodyText"/>
      </w:pPr>
      <w:r>
        <w:rPr>
          <w:b/>
          <w:bCs/>
        </w:rPr>
        <w:t xml:space="preserve">Risk Management:</w:t>
      </w:r>
      <w:r>
        <w:t xml:space="preserve"> </w:t>
      </w:r>
      <w:r>
        <w:t xml:space="preserve">Set up a dedicated operations control center to monitor performance and quickly address any operational issues.</w:t>
      </w:r>
      <w:r>
        <w:t xml:space="preserve"> </w:t>
      </w:r>
      <w:r>
        <w:t xml:space="preserve">### Sales Engineering Support</w:t>
      </w:r>
    </w:p>
    <w:p>
      <w:pPr>
        <w:pStyle w:val="BodyText"/>
      </w:pPr>
      <w:r>
        <w:rPr>
          <w:b/>
          <w:bCs/>
        </w:rPr>
        <w:t xml:space="preserve">Strategic Objective:</w:t>
      </w:r>
      <w:r>
        <w:t xml:space="preserve"> </w:t>
      </w:r>
      <w:r>
        <w:t xml:space="preserve">Empower sales teams with expert technical support throughout the sales journey, focusing on upselling and providing premium service (white glove support).</w:t>
      </w:r>
    </w:p>
    <w:p>
      <w:pPr>
        <w:pStyle w:val="BodyText"/>
      </w:pPr>
      <w:r>
        <w:rPr>
          <w:b/>
          <w:bCs/>
        </w:rPr>
        <w:t xml:space="preserve">Technical SMEs:</w:t>
      </w:r>
      <w:r>
        <w:t xml:space="preserve"> </w:t>
      </w:r>
      <w:r>
        <w:t xml:space="preserve">Experts to support sales teams with solution design, technical consultation, and demonstrations. Focus on upselling and providing the technical edge.</w:t>
      </w:r>
    </w:p>
    <w:p>
      <w:pPr>
        <w:pStyle w:val="BodyText"/>
      </w:pPr>
      <w:r>
        <w:rPr>
          <w:b/>
          <w:bCs/>
        </w:rPr>
        <w:t xml:space="preserve">Agreement Options:</w:t>
      </w:r>
      <w:r>
        <w:t xml:space="preserve"> </w:t>
      </w:r>
      <w:r>
        <w:t xml:space="preserve">Flexible CapEx or OpEx models to cater to diverse financial strategies.</w:t>
      </w:r>
    </w:p>
    <w:p>
      <w:pPr>
        <w:pStyle w:val="BodyText"/>
      </w:pPr>
      <w:r>
        <w:rPr>
          <w:b/>
          <w:bCs/>
        </w:rPr>
        <w:t xml:space="preserve">Budgetary Rate:</w:t>
      </w:r>
      <w:r>
        <w:t xml:space="preserve"> </w:t>
      </w:r>
      <w:r>
        <w:t xml:space="preserve">$175/hour.</w:t>
      </w:r>
    </w:p>
    <w:p>
      <w:pPr>
        <w:pStyle w:val="BodyText"/>
      </w:pPr>
      <w:r>
        <w:rPr>
          <w:b/>
          <w:bCs/>
        </w:rPr>
        <w:t xml:space="preserve">Timeline:</w:t>
      </w:r>
      <w:r>
        <w:t xml:space="preserve"> </w:t>
      </w:r>
      <w:r>
        <w:t xml:space="preserve">Support available throughout the sales cycle with real-time assistance during critical negotiations or presentations.</w:t>
      </w:r>
    </w:p>
    <w:p>
      <w:pPr>
        <w:pStyle w:val="BodyText"/>
      </w:pPr>
      <w:r>
        <w:rPr>
          <w:b/>
          <w:bCs/>
        </w:rPr>
        <w:t xml:space="preserve">Risk Management:</w:t>
      </w:r>
      <w:r>
        <w:t xml:space="preserve"> </w:t>
      </w:r>
      <w:r>
        <w:t xml:space="preserve">Regular training and updates for SMEs to stay ahead of technological advancements and industry trends.</w:t>
      </w:r>
    </w:p>
    <w:bookmarkEnd w:id="22"/>
    <w:bookmarkStart w:id="23" w:name="staging"/>
    <w:p>
      <w:pPr>
        <w:pStyle w:val="Heading3"/>
      </w:pPr>
      <w:r>
        <w:t xml:space="preserve">Staging</w:t>
      </w:r>
    </w:p>
    <w:p>
      <w:pPr>
        <w:pStyle w:val="FirstParagraph"/>
      </w:pPr>
      <w:r>
        <w:rPr>
          <w:b/>
          <w:bCs/>
        </w:rPr>
        <w:t xml:space="preserve">Strategic Objective:</w:t>
      </w:r>
      <w:r>
        <w:t xml:space="preserve"> </w:t>
      </w:r>
      <w:r>
        <w:t xml:space="preserve">Ensure all devices are properly configured and tested before deployment, providing a seamless transition and deployment for the partner.</w:t>
      </w:r>
    </w:p>
    <w:p>
      <w:pPr>
        <w:pStyle w:val="BodyText"/>
      </w:pPr>
      <w:r>
        <w:rPr>
          <w:b/>
          <w:bCs/>
        </w:rPr>
        <w:t xml:space="preserve">Suggested Staging Services through ITC:</w:t>
      </w:r>
      <w:r>
        <w:t xml:space="preserve"> </w:t>
      </w:r>
      <w:r>
        <w:t xml:space="preserve">1. Receive</w:t>
      </w:r>
      <w:r>
        <w:t xml:space="preserve"> </w:t>
      </w:r>
      <w:r>
        <w:t xml:space="preserve">2. Unbox</w:t>
      </w:r>
      <w:r>
        <w:t xml:space="preserve"> </w:t>
      </w:r>
      <w:r>
        <w:t xml:space="preserve">3. Test</w:t>
      </w:r>
      <w:r>
        <w:t xml:space="preserve"> </w:t>
      </w:r>
      <w:r>
        <w:t xml:space="preserve">4. Apply</w:t>
      </w:r>
      <w:r>
        <w:t xml:space="preserve"> </w:t>
      </w:r>
      <w:r>
        <w:t xml:space="preserve">5. Configure</w:t>
      </w:r>
      <w:r>
        <w:t xml:space="preserve"> </w:t>
      </w:r>
      <w:r>
        <w:t xml:space="preserve">6. Burn-In</w:t>
      </w:r>
      <w:r>
        <w:t xml:space="preserve"> </w:t>
      </w:r>
      <w:r>
        <w:t xml:space="preserve">7. Quality Assurance</w:t>
      </w:r>
      <w:r>
        <w:t xml:space="preserve"> </w:t>
      </w:r>
      <w:r>
        <w:t xml:space="preserve">8. Box</w:t>
      </w:r>
      <w:r>
        <w:t xml:space="preserve"> </w:t>
      </w:r>
      <w:r>
        <w:t xml:space="preserve">9. Ship</w:t>
      </w:r>
    </w:p>
    <w:p>
      <w:pPr>
        <w:pStyle w:val="BodyText"/>
      </w:pPr>
      <w:r>
        <w:rPr>
          <w:b/>
          <w:bCs/>
        </w:rPr>
        <w:t xml:space="preserve">Tiered Budgetary Pricing @ Cost Per Device:</w:t>
      </w:r>
      <w:r>
        <w:t xml:space="preserve"> </w:t>
      </w:r>
      <w:r>
        <w:t xml:space="preserve">- Qty 100: $423.34</w:t>
      </w:r>
      <w:r>
        <w:t xml:space="preserve"> </w:t>
      </w:r>
      <w:r>
        <w:t xml:space="preserve">- Qty 500: $204.99</w:t>
      </w:r>
      <w:r>
        <w:t xml:space="preserve"> </w:t>
      </w:r>
      <w:r>
        <w:t xml:space="preserve">- Qty 1000: $171.55</w:t>
      </w:r>
    </w:p>
    <w:p>
      <w:pPr>
        <w:pStyle w:val="BodyText"/>
      </w:pPr>
      <w:r>
        <w:rPr>
          <w:b/>
          <w:bCs/>
        </w:rPr>
        <w:t xml:space="preserve">Timeline:</w:t>
      </w:r>
      <w:r>
        <w:t xml:space="preserve"> </w:t>
      </w:r>
      <w:r>
        <w:t xml:space="preserve">Staging process timeline depends on the quantity, with a maximum timeframe of 4 weeks for the largest orders.</w:t>
      </w:r>
    </w:p>
    <w:p>
      <w:pPr>
        <w:pStyle w:val="BodyText"/>
      </w:pPr>
      <w:r>
        <w:rPr>
          <w:b/>
          <w:bCs/>
        </w:rPr>
        <w:t xml:space="preserve">Risk Management:</w:t>
      </w:r>
      <w:r>
        <w:t xml:space="preserve"> </w:t>
      </w:r>
      <w:r>
        <w:t xml:space="preserve">Implement a dual-check system to minimize errors in the staging process and ensure quality assurance standards are met.</w:t>
      </w:r>
    </w:p>
    <w:bookmarkEnd w:id="23"/>
    <w:bookmarkStart w:id="24" w:name="success-in-partnership"/>
    <w:p>
      <w:pPr>
        <w:pStyle w:val="Heading3"/>
      </w:pPr>
      <w:r>
        <w:t xml:space="preserve">Success in Partnership</w:t>
      </w:r>
    </w:p>
    <w:p>
      <w:pPr>
        <w:pStyle w:val="FirstParagraph"/>
      </w:pPr>
      <w:r>
        <w:rPr>
          <w:b/>
          <w:bCs/>
        </w:rPr>
        <w:t xml:space="preserve">Quantifiable Achievements:</w:t>
      </w:r>
      <w:r>
        <w:t xml:space="preserve"> </w:t>
      </w:r>
      <w:r>
        <w:t xml:space="preserve">- Time to quote reduced from 4 days to 1.</w:t>
      </w:r>
      <w:r>
        <w:t xml:space="preserve"> </w:t>
      </w:r>
      <w:r>
        <w:t xml:space="preserve">- $1M annual savings from optimized inventory management.</w:t>
      </w:r>
      <w:r>
        <w:t xml:space="preserve"> </w:t>
      </w:r>
      <w:r>
        <w:t xml:space="preserve">- $10M in PO savings annually due to strategic sourcing and procurement.</w:t>
      </w:r>
    </w:p>
    <w:p>
      <w:pPr>
        <w:pStyle w:val="Compact"/>
        <w:numPr>
          <w:ilvl w:val="0"/>
          <w:numId w:val="1001"/>
        </w:numPr>
      </w:pPr>
      <w:r>
        <w:t xml:space="preserve">Significant install savings and quality improvements leading to reduced revisit rates and operational cost savings.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Here’s a compelling and data-rich summary of your company’s technical capabilities for Wi-Fi, private 5G, and FWA solutions:</w:t>
      </w:r>
    </w:p>
    <w:p>
      <w:pPr>
        <w:pStyle w:val="Compact"/>
        <w:numPr>
          <w:ilvl w:val="0"/>
          <w:numId w:val="1002"/>
        </w:numPr>
      </w:pPr>
      <w:r>
        <w:t xml:space="preserve">Site Survey and Assessment (SOW)</w:t>
      </w:r>
    </w:p>
    <w:p>
      <w:pPr>
        <w:pStyle w:val="Compact"/>
        <w:numPr>
          <w:ilvl w:val="1"/>
          <w:numId w:val="1003"/>
        </w:numPr>
      </w:pPr>
      <w:r>
        <w:t xml:space="preserve">Detailed site survey checklist covering RF analysis, infrastructure evaluation, and environmental factors</w:t>
      </w:r>
    </w:p>
    <w:p>
      <w:pPr>
        <w:pStyle w:val="Compact"/>
        <w:numPr>
          <w:ilvl w:val="1"/>
          <w:numId w:val="1003"/>
        </w:numPr>
      </w:pPr>
      <w:r>
        <w:t xml:space="preserve">Use of industry-standard tools and methodologies for accurate data collection and analysis</w:t>
      </w:r>
    </w:p>
    <w:p>
      <w:pPr>
        <w:pStyle w:val="Compact"/>
        <w:numPr>
          <w:ilvl w:val="1"/>
          <w:numId w:val="1003"/>
        </w:numPr>
      </w:pPr>
      <w:r>
        <w:t xml:space="preserve">Comprehensive reporting, including heat maps, line-of-sight analysis, and potential interference sources</w:t>
      </w:r>
    </w:p>
    <w:p>
      <w:pPr>
        <w:pStyle w:val="Compact"/>
        <w:numPr>
          <w:ilvl w:val="1"/>
          <w:numId w:val="1003"/>
        </w:numPr>
      </w:pPr>
      <w:r>
        <w:t xml:space="preserve">Recommendations for optimal access point placement, antenna selection, and network configuration</w:t>
      </w:r>
    </w:p>
    <w:p>
      <w:pPr>
        <w:pStyle w:val="Compact"/>
        <w:numPr>
          <w:ilvl w:val="1"/>
          <w:numId w:val="1003"/>
        </w:numPr>
      </w:pPr>
      <w:r>
        <w:t xml:space="preserve">Identification of any necessary infrastructure upgrades or modifications</w:t>
      </w:r>
    </w:p>
    <w:p>
      <w:pPr>
        <w:pStyle w:val="Compact"/>
        <w:numPr>
          <w:ilvl w:val="0"/>
          <w:numId w:val="1002"/>
        </w:numPr>
      </w:pPr>
      <w:r>
        <w:t xml:space="preserve">Hardware Resale</w:t>
      </w:r>
    </w:p>
    <w:p>
      <w:pPr>
        <w:pStyle w:val="Compact"/>
        <w:numPr>
          <w:ilvl w:val="1"/>
          <w:numId w:val="1004"/>
        </w:numPr>
      </w:pPr>
      <w:r>
        <w:t xml:space="preserve">Extensive portfolio of Wi-Fi, private 5G, and FWA hardware from leading manufacturers</w:t>
      </w:r>
    </w:p>
    <w:p>
      <w:pPr>
        <w:pStyle w:val="Compact"/>
        <w:numPr>
          <w:ilvl w:val="1"/>
          <w:numId w:val="1004"/>
        </w:numPr>
      </w:pPr>
      <w:r>
        <w:t xml:space="preserve">Detailed product specifications, datasheets, and comparison matrices to facilitate selection</w:t>
      </w:r>
    </w:p>
    <w:p>
      <w:pPr>
        <w:pStyle w:val="Compact"/>
        <w:numPr>
          <w:ilvl w:val="1"/>
          <w:numId w:val="1004"/>
        </w:numPr>
      </w:pPr>
      <w:r>
        <w:t xml:space="preserve">Competitive pricing leveraging bulk purchasing agreements and distributor relationships</w:t>
      </w:r>
    </w:p>
    <w:p>
      <w:pPr>
        <w:pStyle w:val="Compact"/>
        <w:numPr>
          <w:ilvl w:val="1"/>
          <w:numId w:val="1004"/>
        </w:numPr>
      </w:pPr>
      <w:r>
        <w:t xml:space="preserve">Flexible financing options, including leasing, rental, and pay-per-use models</w:t>
      </w:r>
    </w:p>
    <w:p>
      <w:pPr>
        <w:pStyle w:val="Compact"/>
        <w:numPr>
          <w:ilvl w:val="1"/>
          <w:numId w:val="1004"/>
        </w:numPr>
      </w:pPr>
      <w:r>
        <w:t xml:space="preserve">Hardware lifecycle management, including warranty support, RMA processing, and asset tracking</w:t>
      </w:r>
    </w:p>
    <w:p>
      <w:pPr>
        <w:pStyle w:val="Compact"/>
        <w:numPr>
          <w:ilvl w:val="0"/>
          <w:numId w:val="1002"/>
        </w:numPr>
      </w:pPr>
      <w:r>
        <w:t xml:space="preserve">Design and Installation (SOW)</w:t>
      </w:r>
    </w:p>
    <w:p>
      <w:pPr>
        <w:pStyle w:val="Compact"/>
        <w:numPr>
          <w:ilvl w:val="1"/>
          <w:numId w:val="1005"/>
        </w:numPr>
      </w:pPr>
      <w:r>
        <w:t xml:space="preserve">Detailed low-level and high-level design documents, including network diagrams and configurations</w:t>
      </w:r>
    </w:p>
    <w:p>
      <w:pPr>
        <w:pStyle w:val="Compact"/>
        <w:numPr>
          <w:ilvl w:val="1"/>
          <w:numId w:val="1005"/>
        </w:numPr>
      </w:pPr>
      <w:r>
        <w:t xml:space="preserve">Use of industry-standard design principles and best practices for optimal performance and scalability</w:t>
      </w:r>
    </w:p>
    <w:p>
      <w:pPr>
        <w:pStyle w:val="Compact"/>
        <w:numPr>
          <w:ilvl w:val="1"/>
          <w:numId w:val="1005"/>
        </w:numPr>
      </w:pPr>
      <w:r>
        <w:t xml:space="preserve">Comprehensive installation checklists and quality assurance procedures</w:t>
      </w:r>
    </w:p>
    <w:p>
      <w:pPr>
        <w:pStyle w:val="Compact"/>
        <w:numPr>
          <w:ilvl w:val="1"/>
          <w:numId w:val="1005"/>
        </w:numPr>
      </w:pPr>
      <w:r>
        <w:t xml:space="preserve">Detailed cutover plans and migration strategies to minimize downtime and disruption</w:t>
      </w:r>
    </w:p>
    <w:p>
      <w:pPr>
        <w:pStyle w:val="Compact"/>
        <w:numPr>
          <w:ilvl w:val="1"/>
          <w:numId w:val="1005"/>
        </w:numPr>
      </w:pPr>
      <w:r>
        <w:t xml:space="preserve">Post-installation testing and validation, including RF coverage verification and performance benchmarking</w:t>
      </w:r>
    </w:p>
    <w:p>
      <w:pPr>
        <w:pStyle w:val="Compact"/>
        <w:numPr>
          <w:ilvl w:val="0"/>
          <w:numId w:val="1002"/>
        </w:numPr>
      </w:pPr>
      <w:r>
        <w:t xml:space="preserve">Consulting and Analysis</w:t>
      </w:r>
    </w:p>
    <w:p>
      <w:pPr>
        <w:pStyle w:val="Compact"/>
        <w:numPr>
          <w:ilvl w:val="1"/>
          <w:numId w:val="1006"/>
        </w:numPr>
      </w:pPr>
      <w:r>
        <w:t xml:space="preserve">Detailed assessment of current network infrastructure, including hardware inventory and configuration review</w:t>
      </w:r>
    </w:p>
    <w:p>
      <w:pPr>
        <w:pStyle w:val="Compact"/>
        <w:numPr>
          <w:ilvl w:val="1"/>
          <w:numId w:val="1006"/>
        </w:numPr>
      </w:pPr>
      <w:r>
        <w:t xml:space="preserve">Identification of potential bottlenecks, single points of failure, and security vulnerabilities</w:t>
      </w:r>
    </w:p>
    <w:p>
      <w:pPr>
        <w:pStyle w:val="Compact"/>
        <w:numPr>
          <w:ilvl w:val="1"/>
          <w:numId w:val="1006"/>
        </w:numPr>
      </w:pPr>
      <w:r>
        <w:t xml:space="preserve">Recommendations for network optimization, including QoS configuration, bandwidth management, and traffic prioritization</w:t>
      </w:r>
    </w:p>
    <w:p>
      <w:pPr>
        <w:pStyle w:val="Compact"/>
        <w:numPr>
          <w:ilvl w:val="1"/>
          <w:numId w:val="1006"/>
        </w:numPr>
      </w:pPr>
      <w:r>
        <w:t xml:space="preserve">Analysis of application performance and user experience, with recommendations for improvement</w:t>
      </w:r>
    </w:p>
    <w:p>
      <w:pPr>
        <w:pStyle w:val="Compact"/>
        <w:numPr>
          <w:ilvl w:val="1"/>
          <w:numId w:val="1006"/>
        </w:numPr>
      </w:pPr>
      <w:r>
        <w:t xml:space="preserve">Development of custom automation scripts and tools to streamline processes and reduce manual effort</w:t>
      </w:r>
    </w:p>
    <w:p>
      <w:pPr>
        <w:pStyle w:val="Compact"/>
        <w:numPr>
          <w:ilvl w:val="0"/>
          <w:numId w:val="1002"/>
        </w:numPr>
      </w:pPr>
      <w:r>
        <w:t xml:space="preserve">Staging and Logistics</w:t>
      </w:r>
    </w:p>
    <w:p>
      <w:pPr>
        <w:pStyle w:val="Compact"/>
        <w:numPr>
          <w:ilvl w:val="1"/>
          <w:numId w:val="1007"/>
        </w:numPr>
      </w:pPr>
      <w:r>
        <w:t xml:space="preserve">Detailed staging checklists and quality control procedures to ensure hardware readiness</w:t>
      </w:r>
    </w:p>
    <w:p>
      <w:pPr>
        <w:pStyle w:val="Compact"/>
        <w:numPr>
          <w:ilvl w:val="1"/>
          <w:numId w:val="1007"/>
        </w:numPr>
      </w:pPr>
      <w:r>
        <w:t xml:space="preserve">Use of automated configuration management tools to ensure consistency and accuracy</w:t>
      </w:r>
    </w:p>
    <w:p>
      <w:pPr>
        <w:pStyle w:val="Compact"/>
        <w:numPr>
          <w:ilvl w:val="1"/>
          <w:numId w:val="1007"/>
        </w:numPr>
      </w:pPr>
      <w:r>
        <w:t xml:space="preserve">Secure storage and inventory management practices to protect hardware and prevent loss</w:t>
      </w:r>
    </w:p>
    <w:p>
      <w:pPr>
        <w:pStyle w:val="Compact"/>
        <w:numPr>
          <w:ilvl w:val="1"/>
          <w:numId w:val="1007"/>
        </w:numPr>
      </w:pPr>
      <w:r>
        <w:t xml:space="preserve">Detailed shipping and logistics documentation, including packing lists and tracking information</w:t>
      </w:r>
    </w:p>
    <w:p>
      <w:pPr>
        <w:pStyle w:val="Compact"/>
        <w:numPr>
          <w:ilvl w:val="1"/>
          <w:numId w:val="1007"/>
        </w:numPr>
      </w:pPr>
      <w:r>
        <w:t xml:space="preserve">Coordination with customer receiving teams to ensure smooth delivery and handoff</w:t>
      </w:r>
    </w:p>
    <w:p>
      <w:pPr>
        <w:pStyle w:val="Compact"/>
        <w:numPr>
          <w:ilvl w:val="0"/>
          <w:numId w:val="1002"/>
        </w:numPr>
      </w:pPr>
      <w:r>
        <w:t xml:space="preserve">Lifecycle Project Management</w:t>
      </w:r>
    </w:p>
    <w:p>
      <w:pPr>
        <w:pStyle w:val="Compact"/>
        <w:numPr>
          <w:ilvl w:val="1"/>
          <w:numId w:val="1008"/>
        </w:numPr>
      </w:pPr>
      <w:r>
        <w:t xml:space="preserve">Detailed project plans, including work breakdown structures, timelines, and milestones</w:t>
      </w:r>
    </w:p>
    <w:p>
      <w:pPr>
        <w:pStyle w:val="Compact"/>
        <w:numPr>
          <w:ilvl w:val="1"/>
          <w:numId w:val="1008"/>
        </w:numPr>
      </w:pPr>
      <w:r>
        <w:t xml:space="preserve">Regular project status reports and risk management updates</w:t>
      </w:r>
    </w:p>
    <w:p>
      <w:pPr>
        <w:pStyle w:val="Compact"/>
        <w:numPr>
          <w:ilvl w:val="1"/>
          <w:numId w:val="1008"/>
        </w:numPr>
      </w:pPr>
      <w:r>
        <w:t xml:space="preserve">Established change management processes to handle scope changes and minimize impact</w:t>
      </w:r>
    </w:p>
    <w:p>
      <w:pPr>
        <w:pStyle w:val="Compact"/>
        <w:numPr>
          <w:ilvl w:val="1"/>
          <w:numId w:val="1008"/>
        </w:numPr>
      </w:pPr>
      <w:r>
        <w:t xml:space="preserve">Detailed resource allocation and capacity planning to ensure project staffing and availability</w:t>
      </w:r>
    </w:p>
    <w:p>
      <w:pPr>
        <w:pStyle w:val="Compact"/>
        <w:numPr>
          <w:ilvl w:val="1"/>
          <w:numId w:val="1008"/>
        </w:numPr>
      </w:pPr>
      <w:r>
        <w:t xml:space="preserve">Comprehensive project documentation, including meeting minutes, action items, and decision logs</w:t>
      </w:r>
    </w:p>
    <w:p>
      <w:pPr>
        <w:pStyle w:val="Compact"/>
        <w:numPr>
          <w:ilvl w:val="0"/>
          <w:numId w:val="1002"/>
        </w:numPr>
      </w:pPr>
      <w:r>
        <w:t xml:space="preserve">Sales Engineering Support</w:t>
      </w:r>
    </w:p>
    <w:p>
      <w:pPr>
        <w:pStyle w:val="Compact"/>
        <w:numPr>
          <w:ilvl w:val="1"/>
          <w:numId w:val="1009"/>
        </w:numPr>
      </w:pPr>
      <w:r>
        <w:t xml:space="preserve">Detailed product and solution training for sales teams, including hands-on demos and workshops</w:t>
      </w:r>
    </w:p>
    <w:p>
      <w:pPr>
        <w:pStyle w:val="Compact"/>
        <w:numPr>
          <w:ilvl w:val="1"/>
          <w:numId w:val="1009"/>
        </w:numPr>
      </w:pPr>
      <w:r>
        <w:t xml:space="preserve">Creation of custom solution briefs, case studies, and ROI calculators to support sales efforts</w:t>
      </w:r>
    </w:p>
    <w:p>
      <w:pPr>
        <w:pStyle w:val="Compact"/>
        <w:numPr>
          <w:ilvl w:val="1"/>
          <w:numId w:val="1009"/>
        </w:numPr>
      </w:pPr>
      <w:r>
        <w:t xml:space="preserve">Participation in customer meetings and presentations to provide technical expertise and credibility</w:t>
      </w:r>
    </w:p>
    <w:p>
      <w:pPr>
        <w:pStyle w:val="Compact"/>
        <w:numPr>
          <w:ilvl w:val="1"/>
          <w:numId w:val="1009"/>
        </w:numPr>
      </w:pPr>
      <w:r>
        <w:t xml:space="preserve">Development of proof-of-concept (POC) and pilot programs to validate solution fit and performance</w:t>
      </w:r>
    </w:p>
    <w:p>
      <w:pPr>
        <w:pStyle w:val="Compact"/>
        <w:numPr>
          <w:ilvl w:val="1"/>
          <w:numId w:val="1009"/>
        </w:numPr>
      </w:pPr>
      <w:r>
        <w:t xml:space="preserve">Ongoing technical support and guidance throughout the sales cycle to ensure customer success</w:t>
      </w:r>
    </w:p>
    <w:p>
      <w:pPr>
        <w:pStyle w:val="Compact"/>
        <w:numPr>
          <w:ilvl w:val="0"/>
          <w:numId w:val="1002"/>
        </w:numPr>
      </w:pPr>
      <w:r>
        <w:t xml:space="preserve">Ongoing Operations and Automation</w:t>
      </w:r>
    </w:p>
    <w:p>
      <w:pPr>
        <w:pStyle w:val="Compact"/>
        <w:numPr>
          <w:ilvl w:val="1"/>
          <w:numId w:val="1010"/>
        </w:numPr>
      </w:pPr>
      <w:r>
        <w:t xml:space="preserve">Detailed operational runbooks and troubleshooting guides for common issues and scenarios</w:t>
      </w:r>
    </w:p>
    <w:p>
      <w:pPr>
        <w:pStyle w:val="Compact"/>
        <w:numPr>
          <w:ilvl w:val="1"/>
          <w:numId w:val="1010"/>
        </w:numPr>
      </w:pPr>
      <w:r>
        <w:t xml:space="preserve">Established SLAs and performance metrics to track and measure service quality and availability</w:t>
      </w:r>
    </w:p>
    <w:p>
      <w:pPr>
        <w:pStyle w:val="Compact"/>
        <w:numPr>
          <w:ilvl w:val="1"/>
          <w:numId w:val="1010"/>
        </w:numPr>
      </w:pPr>
      <w:r>
        <w:t xml:space="preserve">Regular capacity planning and trend analysis to proactively identify and address potential issues</w:t>
      </w:r>
    </w:p>
    <w:p>
      <w:pPr>
        <w:pStyle w:val="Compact"/>
        <w:numPr>
          <w:ilvl w:val="1"/>
          <w:numId w:val="1010"/>
        </w:numPr>
      </w:pPr>
      <w:r>
        <w:t xml:space="preserve">Continuous improvement initiatives, including process optimization and automation opportunities</w:t>
      </w:r>
    </w:p>
    <w:p>
      <w:pPr>
        <w:pStyle w:val="Compact"/>
        <w:numPr>
          <w:ilvl w:val="1"/>
          <w:numId w:val="1010"/>
        </w:numPr>
      </w:pPr>
      <w:r>
        <w:t xml:space="preserve">Ongoing training and knowledge transfer to customer teams to enable self-sufficiency and reduce reliance on external support</w:t>
      </w:r>
    </w:p>
    <w:bookmarkEnd w:id="24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 Text"/>
    <w:next w:val="Footnote 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2024-05-13T12:59:50Z</dcterms:created>
  <dcterms:modified xsi:type="dcterms:W3CDTF">2024-05-13T12:59:50Z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